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97" w:rsidRPr="00973594" w:rsidRDefault="00122897" w:rsidP="00122897">
      <w:pPr>
        <w:spacing w:line="420" w:lineRule="exact"/>
      </w:pPr>
      <w:bookmarkStart w:id="0" w:name="_GoBack"/>
      <w:bookmarkEnd w:id="0"/>
      <w:r w:rsidRPr="00973594">
        <w:t>潛葉蛾</w:t>
      </w:r>
      <w:r w:rsidRPr="00973594">
        <w:rPr>
          <w:rFonts w:hint="eastAsia"/>
        </w:rPr>
        <w:t>（</w:t>
      </w:r>
      <w:r w:rsidRPr="00973594">
        <w:t>畫圖蟲</w:t>
      </w:r>
      <w:r w:rsidRPr="00973594">
        <w:rPr>
          <w:rFonts w:hint="eastAsia"/>
        </w:rPr>
        <w:t>）</w:t>
      </w:r>
    </w:p>
    <w:p w:rsidR="00122897" w:rsidRPr="00973594" w:rsidRDefault="00122897" w:rsidP="00122897">
      <w:pPr>
        <w:spacing w:line="420" w:lineRule="exact"/>
      </w:pPr>
      <w:r w:rsidRPr="00973594">
        <w:t>學名：</w:t>
      </w:r>
      <w:proofErr w:type="spellStart"/>
      <w:r w:rsidRPr="00973594">
        <w:rPr>
          <w:i/>
        </w:rPr>
        <w:t>Phyllocnistis</w:t>
      </w:r>
      <w:proofErr w:type="spellEnd"/>
      <w:r w:rsidRPr="00973594">
        <w:rPr>
          <w:rFonts w:hint="eastAsia"/>
          <w:i/>
        </w:rPr>
        <w:t xml:space="preserve"> </w:t>
      </w:r>
      <w:proofErr w:type="spellStart"/>
      <w:r w:rsidRPr="00973594">
        <w:rPr>
          <w:i/>
        </w:rPr>
        <w:t>citrella</w:t>
      </w:r>
      <w:proofErr w:type="spellEnd"/>
    </w:p>
    <w:p w:rsidR="00122897" w:rsidRPr="00973594" w:rsidRDefault="00122897" w:rsidP="00122897">
      <w:pPr>
        <w:spacing w:line="420" w:lineRule="exact"/>
      </w:pPr>
      <w:r w:rsidRPr="00973594">
        <w:rPr>
          <w:rFonts w:hint="eastAsia"/>
        </w:rPr>
        <w:t>生態習性：</w:t>
      </w:r>
    </w:p>
    <w:p w:rsidR="00122897" w:rsidRPr="00973594" w:rsidRDefault="00122897" w:rsidP="00122897">
      <w:pPr>
        <w:spacing w:line="420" w:lineRule="exact"/>
        <w:ind w:firstLineChars="210" w:firstLine="504"/>
      </w:pPr>
      <w:r w:rsidRPr="00973594">
        <w:rPr>
          <w:rFonts w:hint="eastAsia"/>
        </w:rPr>
        <w:t>潛葉蛾主要危害</w:t>
      </w:r>
      <w:r w:rsidRPr="00973594">
        <w:t>新梢及幼苗</w:t>
      </w:r>
      <w:r w:rsidRPr="00973594">
        <w:rPr>
          <w:rFonts w:hint="eastAsia"/>
        </w:rPr>
        <w:t>，偶爾可見潛食小果表皮</w:t>
      </w:r>
      <w:r w:rsidRPr="00973594">
        <w:t>，雌蛾產卵在嫩芽，幼蟲孵化後潛入嫩葉取食</w:t>
      </w:r>
      <w:r w:rsidRPr="00973594">
        <w:rPr>
          <w:rFonts w:hint="eastAsia"/>
        </w:rPr>
        <w:t>葉肉</w:t>
      </w:r>
      <w:r w:rsidRPr="00973594">
        <w:t>，葉</w:t>
      </w:r>
      <w:r w:rsidRPr="00973594">
        <w:rPr>
          <w:rFonts w:hint="eastAsia"/>
        </w:rPr>
        <w:t>片食痕</w:t>
      </w:r>
      <w:r w:rsidRPr="00973594">
        <w:t>呈蜿蜒曲折之隧道</w:t>
      </w:r>
      <w:r w:rsidRPr="00973594">
        <w:rPr>
          <w:rFonts w:hint="eastAsia"/>
        </w:rPr>
        <w:t>狀</w:t>
      </w:r>
      <w:r w:rsidRPr="00973594">
        <w:t>，葉片捲曲無法正常伸展，潰瘍病</w:t>
      </w:r>
      <w:r w:rsidRPr="00973594">
        <w:rPr>
          <w:rFonts w:hint="eastAsia"/>
        </w:rPr>
        <w:t>菌容易入侵潛葉蛾取食造成的傷口</w:t>
      </w:r>
      <w:r w:rsidRPr="00973594">
        <w:t>。</w:t>
      </w:r>
    </w:p>
    <w:p w:rsidR="00122897" w:rsidRPr="00973594" w:rsidRDefault="00122897" w:rsidP="00122897">
      <w:pPr>
        <w:spacing w:line="420" w:lineRule="exact"/>
      </w:pPr>
      <w:r w:rsidRPr="00973594">
        <w:rPr>
          <w:rFonts w:hint="eastAsia"/>
        </w:rPr>
        <w:t>防治方法：</w:t>
      </w:r>
    </w:p>
    <w:p w:rsidR="00122897" w:rsidRPr="00973594" w:rsidRDefault="00122897" w:rsidP="00122897">
      <w:pPr>
        <w:pStyle w:val="a3"/>
        <w:numPr>
          <w:ilvl w:val="0"/>
          <w:numId w:val="2"/>
        </w:numPr>
        <w:spacing w:line="420" w:lineRule="exact"/>
        <w:ind w:leftChars="0"/>
      </w:pPr>
      <w:r w:rsidRPr="00973594">
        <w:rPr>
          <w:rFonts w:hint="eastAsia"/>
        </w:rPr>
        <w:t>夏、秋梢時節為潛葉蛾重點防治期，氣候炎熱潛葉蛾族群發生密度高。若植株無結果實，則須適度以藥劑進行防治。若有果實則剪除夏梢，減少潛葉蛾的發生。</w:t>
      </w:r>
    </w:p>
    <w:p w:rsidR="00122897" w:rsidRPr="00973594" w:rsidRDefault="00122897" w:rsidP="00122897">
      <w:pPr>
        <w:pStyle w:val="a3"/>
        <w:numPr>
          <w:ilvl w:val="0"/>
          <w:numId w:val="2"/>
        </w:numPr>
        <w:spacing w:line="420" w:lineRule="exact"/>
        <w:ind w:leftChars="0"/>
      </w:pPr>
      <w:r w:rsidRPr="00973594">
        <w:rPr>
          <w:rFonts w:cs="Arial" w:hint="eastAsia"/>
        </w:rPr>
        <w:t>非農藥防治資材，可參考使用油劑。</w:t>
      </w:r>
    </w:p>
    <w:p w:rsidR="00122897" w:rsidRPr="00973594" w:rsidRDefault="00122897" w:rsidP="00122897">
      <w:pPr>
        <w:pStyle w:val="a3"/>
        <w:numPr>
          <w:ilvl w:val="0"/>
          <w:numId w:val="2"/>
        </w:numPr>
        <w:spacing w:line="420" w:lineRule="exact"/>
        <w:ind w:leftChars="0"/>
      </w:pPr>
      <w:r w:rsidRPr="00973594">
        <w:rPr>
          <w:rFonts w:hint="eastAsia"/>
        </w:rPr>
        <w:t>參考柑橘類登記用藥進行防治。</w:t>
      </w:r>
    </w:p>
    <w:p w:rsidR="00122897" w:rsidRPr="00973594" w:rsidRDefault="00122897" w:rsidP="00122897">
      <w:pPr>
        <w:spacing w:line="4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122897" w:rsidRPr="00973594" w:rsidTr="00221FF9">
        <w:tc>
          <w:tcPr>
            <w:tcW w:w="4181" w:type="dxa"/>
          </w:tcPr>
          <w:p w:rsidR="00122897" w:rsidRPr="00973594" w:rsidRDefault="00122897" w:rsidP="00221FF9">
            <w:pPr>
              <w:spacing w:line="420" w:lineRule="exac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38100</wp:posOffset>
                  </wp:positionV>
                  <wp:extent cx="2064385" cy="1550035"/>
                  <wp:effectExtent l="19050" t="0" r="0" b="0"/>
                  <wp:wrapNone/>
                  <wp:docPr id="4" name="圖片 4" descr="潛葉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潛葉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85" cy="155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</w:tc>
        <w:tc>
          <w:tcPr>
            <w:tcW w:w="4181" w:type="dxa"/>
          </w:tcPr>
          <w:p w:rsidR="00122897" w:rsidRPr="00973594" w:rsidRDefault="00122897" w:rsidP="00221FF9">
            <w:pPr>
              <w:spacing w:line="420" w:lineRule="exac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38100</wp:posOffset>
                  </wp:positionV>
                  <wp:extent cx="2334895" cy="1548765"/>
                  <wp:effectExtent l="19050" t="0" r="8255" b="0"/>
                  <wp:wrapNone/>
                  <wp:docPr id="2" name="圖片 2" descr="潛葉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潛葉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95" cy="154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</w:tc>
      </w:tr>
      <w:tr w:rsidR="00122897" w:rsidRPr="00973594" w:rsidTr="00221FF9">
        <w:tc>
          <w:tcPr>
            <w:tcW w:w="4181" w:type="dxa"/>
          </w:tcPr>
          <w:p w:rsidR="00122897" w:rsidRPr="00973594" w:rsidRDefault="00122897" w:rsidP="00221FF9">
            <w:pPr>
              <w:spacing w:line="420" w:lineRule="exact"/>
            </w:pPr>
            <w:r w:rsidRPr="00973594">
              <w:rPr>
                <w:rFonts w:hint="eastAsia"/>
              </w:rPr>
              <w:t>潛葉蛾潛食葉肉</w:t>
            </w:r>
          </w:p>
        </w:tc>
        <w:tc>
          <w:tcPr>
            <w:tcW w:w="4181" w:type="dxa"/>
          </w:tcPr>
          <w:p w:rsidR="00122897" w:rsidRPr="00973594" w:rsidRDefault="00122897" w:rsidP="00221FF9">
            <w:pPr>
              <w:spacing w:line="420" w:lineRule="exact"/>
            </w:pPr>
            <w:r w:rsidRPr="00973594">
              <w:rPr>
                <w:rFonts w:hint="eastAsia"/>
              </w:rPr>
              <w:t>潛葉蛾被害葉</w:t>
            </w:r>
          </w:p>
        </w:tc>
      </w:tr>
      <w:tr w:rsidR="00122897" w:rsidRPr="00973594" w:rsidTr="00221FF9">
        <w:tc>
          <w:tcPr>
            <w:tcW w:w="4181" w:type="dxa"/>
          </w:tcPr>
          <w:p w:rsidR="00122897" w:rsidRPr="00973594" w:rsidRDefault="00122897" w:rsidP="00221FF9">
            <w:pPr>
              <w:spacing w:line="420" w:lineRule="exac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46355</wp:posOffset>
                  </wp:positionV>
                  <wp:extent cx="2298700" cy="1524635"/>
                  <wp:effectExtent l="19050" t="0" r="6350" b="0"/>
                  <wp:wrapNone/>
                  <wp:docPr id="3" name="圖片 3" descr="潛葉蛾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潛葉蛾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52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  <w:p w:rsidR="00122897" w:rsidRPr="00973594" w:rsidRDefault="00122897" w:rsidP="00221FF9">
            <w:pPr>
              <w:spacing w:line="420" w:lineRule="exact"/>
            </w:pPr>
          </w:p>
        </w:tc>
        <w:tc>
          <w:tcPr>
            <w:tcW w:w="4181" w:type="dxa"/>
          </w:tcPr>
          <w:p w:rsidR="00122897" w:rsidRPr="00973594" w:rsidRDefault="00122897" w:rsidP="00221FF9">
            <w:pPr>
              <w:spacing w:line="420" w:lineRule="exac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40005</wp:posOffset>
                  </wp:positionV>
                  <wp:extent cx="2041525" cy="1530985"/>
                  <wp:effectExtent l="19050" t="0" r="0" b="0"/>
                  <wp:wrapNone/>
                  <wp:docPr id="5" name="圖片 5" descr="潛葉蛾潰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潛葉蛾潰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153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2897" w:rsidRPr="00973594" w:rsidTr="00221FF9">
        <w:tc>
          <w:tcPr>
            <w:tcW w:w="4181" w:type="dxa"/>
          </w:tcPr>
          <w:p w:rsidR="00122897" w:rsidRPr="00973594" w:rsidRDefault="00122897" w:rsidP="00221FF9">
            <w:pPr>
              <w:spacing w:line="420" w:lineRule="exact"/>
            </w:pPr>
            <w:r w:rsidRPr="00973594">
              <w:rPr>
                <w:rFonts w:hint="eastAsia"/>
              </w:rPr>
              <w:t>潛葉蛾潛食小果表皮</w:t>
            </w:r>
          </w:p>
        </w:tc>
        <w:tc>
          <w:tcPr>
            <w:tcW w:w="4181" w:type="dxa"/>
          </w:tcPr>
          <w:p w:rsidR="00122897" w:rsidRPr="00973594" w:rsidRDefault="00122897" w:rsidP="00221FF9">
            <w:pPr>
              <w:spacing w:line="420" w:lineRule="exact"/>
            </w:pPr>
            <w:r w:rsidRPr="00973594">
              <w:rPr>
                <w:rFonts w:hint="eastAsia"/>
              </w:rPr>
              <w:t>潛葉蛾食痕易感染潰瘍病</w:t>
            </w:r>
          </w:p>
        </w:tc>
      </w:tr>
    </w:tbl>
    <w:p w:rsidR="00122897" w:rsidRPr="00973594" w:rsidRDefault="00122897" w:rsidP="00122897">
      <w:pPr>
        <w:spacing w:line="420" w:lineRule="exact"/>
      </w:pPr>
    </w:p>
    <w:p w:rsidR="006C4C52" w:rsidRPr="00122897" w:rsidRDefault="006C4C52"/>
    <w:sectPr w:rsidR="006C4C52" w:rsidRPr="00122897" w:rsidSect="006C4C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32E62"/>
    <w:multiLevelType w:val="hybridMultilevel"/>
    <w:tmpl w:val="49DCD3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55199"/>
    <w:multiLevelType w:val="hybridMultilevel"/>
    <w:tmpl w:val="CC600AB2"/>
    <w:lvl w:ilvl="0" w:tplc="962EC6E0">
      <w:start w:val="1"/>
      <w:numFmt w:val="taiwaneseCountingThousand"/>
      <w:pStyle w:val="3"/>
      <w:lvlText w:val="(%1)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97"/>
    <w:rsid w:val="00122897"/>
    <w:rsid w:val="002549F6"/>
    <w:rsid w:val="002E0375"/>
    <w:rsid w:val="006C4C52"/>
    <w:rsid w:val="00A03903"/>
    <w:rsid w:val="00D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529ED2-B3CC-4047-A506-944509AB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897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qFormat/>
    <w:rsid w:val="00DA2373"/>
    <w:pPr>
      <w:keepNext/>
      <w:numPr>
        <w:numId w:val="1"/>
      </w:numPr>
      <w:spacing w:afterLines="50" w:line="500" w:lineRule="exact"/>
      <w:outlineLvl w:val="2"/>
    </w:pPr>
    <w:rPr>
      <w:rFonts w:eastAsia="標楷體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A2373"/>
    <w:rPr>
      <w:rFonts w:ascii="Times New Roman" w:eastAsia="標楷體" w:hAnsi="Times New Roman" w:cs="Times New Roman"/>
      <w:bCs/>
      <w:sz w:val="28"/>
      <w:szCs w:val="36"/>
    </w:rPr>
  </w:style>
  <w:style w:type="paragraph" w:styleId="a3">
    <w:name w:val="List Paragraph"/>
    <w:basedOn w:val="a"/>
    <w:uiPriority w:val="34"/>
    <w:qFormat/>
    <w:rsid w:val="001228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鄭安秀</dc:creator>
  <cp:lastModifiedBy>emily.chang2 張祈茗</cp:lastModifiedBy>
  <cp:revision>2</cp:revision>
  <dcterms:created xsi:type="dcterms:W3CDTF">2016-02-19T06:11:00Z</dcterms:created>
  <dcterms:modified xsi:type="dcterms:W3CDTF">2016-02-19T06:11:00Z</dcterms:modified>
</cp:coreProperties>
</file>