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F2" w:rsidRPr="00C1264A" w:rsidRDefault="00303EF2" w:rsidP="00303EF2">
      <w:pPr>
        <w:spacing w:beforeLines="15" w:afterLines="15" w:line="460" w:lineRule="exact"/>
        <w:jc w:val="center"/>
        <w:rPr>
          <w:rFonts w:eastAsia="標楷體"/>
          <w:b/>
          <w:sz w:val="40"/>
          <w:szCs w:val="40"/>
        </w:rPr>
      </w:pPr>
      <w:r w:rsidRPr="00C1264A">
        <w:rPr>
          <w:rFonts w:eastAsia="標楷體" w:hAnsi="標楷體"/>
          <w:b/>
          <w:sz w:val="40"/>
          <w:szCs w:val="40"/>
        </w:rPr>
        <w:t>果樹基肥之施用技術</w:t>
      </w:r>
    </w:p>
    <w:p w:rsidR="00303EF2" w:rsidRPr="00C1264A" w:rsidRDefault="00303EF2" w:rsidP="00303EF2">
      <w:pPr>
        <w:spacing w:beforeLines="15" w:afterLines="15" w:line="460" w:lineRule="exact"/>
        <w:jc w:val="center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邱禮弘</w:t>
      </w:r>
    </w:p>
    <w:p w:rsidR="00303EF2" w:rsidRPr="00C1264A" w:rsidRDefault="00303EF2" w:rsidP="00303EF2">
      <w:pPr>
        <w:spacing w:beforeLines="15" w:afterLines="15" w:line="460" w:lineRule="exact"/>
        <w:jc w:val="center"/>
        <w:rPr>
          <w:rFonts w:eastAsia="標楷體"/>
          <w:sz w:val="28"/>
          <w:szCs w:val="28"/>
        </w:rPr>
      </w:pPr>
    </w:p>
    <w:p w:rsidR="00303EF2" w:rsidRPr="00C1264A" w:rsidRDefault="00303EF2" w:rsidP="00303EF2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C1264A">
        <w:rPr>
          <w:rFonts w:eastAsia="標楷體" w:hAnsi="標楷體"/>
          <w:b/>
          <w:sz w:val="32"/>
          <w:szCs w:val="32"/>
        </w:rPr>
        <w:t>摘</w:t>
      </w:r>
      <w:r w:rsidRPr="00C1264A">
        <w:rPr>
          <w:rFonts w:eastAsia="標楷體"/>
          <w:b/>
          <w:sz w:val="32"/>
          <w:szCs w:val="32"/>
        </w:rPr>
        <w:t xml:space="preserve">  </w:t>
      </w:r>
      <w:r w:rsidRPr="00C1264A">
        <w:rPr>
          <w:rFonts w:eastAsia="標楷體" w:hAnsi="標楷體"/>
          <w:b/>
          <w:sz w:val="32"/>
          <w:szCs w:val="32"/>
        </w:rPr>
        <w:t>要</w:t>
      </w:r>
    </w:p>
    <w:p w:rsidR="00303EF2" w:rsidRPr="00C1264A" w:rsidRDefault="00303EF2" w:rsidP="00303EF2">
      <w:pPr>
        <w:spacing w:beforeLines="15" w:afterLines="15" w:line="460" w:lineRule="exact"/>
        <w:ind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掌握多年生果樹基肥的正確施用技術，是最重要的合理化施肥措施，因其所施用的肥料量及種類，將深遠地影響日後果樹的生育情形。而慎選最適宜的時機、土壤有機質的補充、土壤</w:t>
      </w:r>
      <w:r w:rsidRPr="00C1264A">
        <w:rPr>
          <w:rFonts w:eastAsia="標楷體"/>
          <w:sz w:val="28"/>
          <w:szCs w:val="28"/>
        </w:rPr>
        <w:t>pH</w:t>
      </w:r>
      <w:r w:rsidRPr="00C1264A">
        <w:rPr>
          <w:rFonts w:eastAsia="標楷體" w:hAnsi="標楷體"/>
          <w:sz w:val="28"/>
          <w:szCs w:val="28"/>
        </w:rPr>
        <w:t>值的調整、土壤磷鉀肥的配置，以及</w:t>
      </w:r>
      <w:proofErr w:type="gramStart"/>
      <w:r w:rsidRPr="00C1264A">
        <w:rPr>
          <w:rFonts w:eastAsia="標楷體" w:hAnsi="標楷體"/>
          <w:sz w:val="28"/>
          <w:szCs w:val="28"/>
        </w:rPr>
        <w:t>中耕掩施確保肥效等五項</w:t>
      </w:r>
      <w:proofErr w:type="gramEnd"/>
      <w:r w:rsidRPr="00C1264A">
        <w:rPr>
          <w:rFonts w:eastAsia="標楷體" w:hAnsi="標楷體"/>
          <w:sz w:val="28"/>
          <w:szCs w:val="28"/>
        </w:rPr>
        <w:t>要點則是基肥合理施用技術應特別注意的事項。如能善於調控基肥的施肥技術，其爾後的追肥則可收事半功倍之效。</w:t>
      </w:r>
    </w:p>
    <w:p w:rsidR="00303EF2" w:rsidRPr="00C1264A" w:rsidRDefault="00303EF2" w:rsidP="00303EF2">
      <w:pPr>
        <w:spacing w:beforeLines="15" w:afterLines="15" w:line="460" w:lineRule="exact"/>
        <w:rPr>
          <w:rFonts w:eastAsia="標楷體"/>
          <w:sz w:val="28"/>
          <w:szCs w:val="28"/>
        </w:rPr>
      </w:pPr>
    </w:p>
    <w:p w:rsidR="00303EF2" w:rsidRPr="00C1264A" w:rsidRDefault="00303EF2" w:rsidP="00303EF2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C1264A">
        <w:rPr>
          <w:rFonts w:eastAsia="標楷體" w:hAnsi="標楷體"/>
          <w:b/>
          <w:sz w:val="32"/>
          <w:szCs w:val="32"/>
        </w:rPr>
        <w:t>前</w:t>
      </w:r>
      <w:r w:rsidRPr="00C1264A">
        <w:rPr>
          <w:rFonts w:eastAsia="標楷體"/>
          <w:b/>
          <w:sz w:val="32"/>
          <w:szCs w:val="32"/>
        </w:rPr>
        <w:t xml:space="preserve">  </w:t>
      </w:r>
      <w:r w:rsidRPr="00C1264A">
        <w:rPr>
          <w:rFonts w:eastAsia="標楷體" w:hAnsi="標楷體"/>
          <w:b/>
          <w:sz w:val="32"/>
          <w:szCs w:val="32"/>
        </w:rPr>
        <w:t>言</w:t>
      </w:r>
    </w:p>
    <w:p w:rsidR="00303EF2" w:rsidRPr="00C1264A" w:rsidRDefault="00303EF2" w:rsidP="00303EF2">
      <w:pPr>
        <w:spacing w:beforeLines="15" w:afterLines="15" w:line="460" w:lineRule="exact"/>
        <w:ind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在高產量與高品質是確保栽培果樹能有高收益的思維下，促使農友不惜大量施用肥料，以求增加收入；殊不知過度施肥不但無法提升產量及品質，往往還造成反效果，不僅導致收益減少，還會產生肥料過量的環境污染問題。因此，如何藉由合理化的施肥技術來維持高收益與環境零污染</w:t>
      </w:r>
      <w:proofErr w:type="gramStart"/>
      <w:r w:rsidRPr="00C1264A">
        <w:rPr>
          <w:rFonts w:eastAsia="標楷體" w:hAnsi="標楷體"/>
          <w:sz w:val="28"/>
          <w:szCs w:val="28"/>
        </w:rPr>
        <w:t>二者間的平衡</w:t>
      </w:r>
      <w:proofErr w:type="gramEnd"/>
      <w:r w:rsidRPr="00C1264A">
        <w:rPr>
          <w:rFonts w:eastAsia="標楷體" w:hAnsi="標楷體"/>
          <w:sz w:val="28"/>
          <w:szCs w:val="28"/>
        </w:rPr>
        <w:t>，實為農友及消費者所關心的課題。由於每一耕地土壤肥力狀況不同，所需要的土壤管理措施、肥料種類與施肥量自然不同。故基肥施用前應先配合土壤肥力檢測與</w:t>
      </w:r>
      <w:proofErr w:type="gramStart"/>
      <w:r w:rsidRPr="00C1264A">
        <w:rPr>
          <w:rFonts w:eastAsia="標楷體" w:hAnsi="標楷體"/>
          <w:sz w:val="28"/>
          <w:szCs w:val="28"/>
        </w:rPr>
        <w:t>作物需肥診斷</w:t>
      </w:r>
      <w:proofErr w:type="gramEnd"/>
      <w:r w:rsidRPr="00C1264A">
        <w:rPr>
          <w:rFonts w:eastAsia="標楷體" w:hAnsi="標楷體"/>
          <w:sz w:val="28"/>
          <w:szCs w:val="28"/>
        </w:rPr>
        <w:t>，以瞭解該如何配置適宜的肥料種類及用量，即可對症施肥而充分發揮肥料的增產作用，實現高產量與高品質目標。有了上述果園土壤肥力檢測的診斷分析，就可於果樹施用基肥時期，</w:t>
      </w:r>
      <w:proofErr w:type="gramStart"/>
      <w:r w:rsidRPr="00C1264A">
        <w:rPr>
          <w:rFonts w:eastAsia="標楷體" w:hAnsi="標楷體"/>
          <w:sz w:val="28"/>
          <w:szCs w:val="28"/>
        </w:rPr>
        <w:t>進行園相土壤</w:t>
      </w:r>
      <w:proofErr w:type="gramEnd"/>
      <w:r w:rsidRPr="00C1264A">
        <w:rPr>
          <w:rFonts w:eastAsia="標楷體" w:hAnsi="標楷體"/>
          <w:sz w:val="28"/>
          <w:szCs w:val="28"/>
        </w:rPr>
        <w:t>的肥力配置調整；缺什麼肥才</w:t>
      </w:r>
      <w:proofErr w:type="gramStart"/>
      <w:r w:rsidRPr="00C1264A">
        <w:rPr>
          <w:rFonts w:eastAsia="標楷體" w:hAnsi="標楷體"/>
          <w:sz w:val="28"/>
          <w:szCs w:val="28"/>
        </w:rPr>
        <w:t>補施什麼</w:t>
      </w:r>
      <w:proofErr w:type="gramEnd"/>
      <w:r w:rsidRPr="00C1264A">
        <w:rPr>
          <w:rFonts w:eastAsia="標楷體" w:hAnsi="標楷體"/>
          <w:sz w:val="28"/>
          <w:szCs w:val="28"/>
        </w:rPr>
        <w:t>肥料即可，不要每年都固定施用相同的肥料種類及用量。況且果樹的基肥施用目的</w:t>
      </w:r>
      <w:proofErr w:type="gramStart"/>
      <w:r w:rsidRPr="00C1264A">
        <w:rPr>
          <w:rFonts w:eastAsia="標楷體" w:hAnsi="標楷體"/>
          <w:sz w:val="28"/>
          <w:szCs w:val="28"/>
        </w:rPr>
        <w:t>不</w:t>
      </w:r>
      <w:proofErr w:type="gramEnd"/>
      <w:r w:rsidRPr="00C1264A">
        <w:rPr>
          <w:rFonts w:eastAsia="標楷體" w:hAnsi="標楷體"/>
          <w:sz w:val="28"/>
          <w:szCs w:val="28"/>
        </w:rPr>
        <w:t>僅只為補充肥分的化學性需求，尚能顧及根系土壤物理性及生物性的需求；故掌握果園基肥施用技術，將有效提升與穩定果樹質與量的生產。</w:t>
      </w:r>
    </w:p>
    <w:p w:rsidR="00303EF2" w:rsidRPr="00C1264A" w:rsidRDefault="00303EF2" w:rsidP="00303EF2">
      <w:pPr>
        <w:spacing w:beforeLines="15" w:afterLines="15" w:line="460" w:lineRule="exact"/>
        <w:rPr>
          <w:rFonts w:eastAsia="標楷體"/>
          <w:sz w:val="28"/>
          <w:szCs w:val="28"/>
        </w:rPr>
      </w:pPr>
    </w:p>
    <w:p w:rsidR="00303EF2" w:rsidRPr="00C1264A" w:rsidRDefault="00303EF2" w:rsidP="00303EF2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C1264A">
        <w:rPr>
          <w:rFonts w:eastAsia="標楷體" w:hAnsi="標楷體"/>
          <w:b/>
          <w:sz w:val="32"/>
          <w:szCs w:val="32"/>
        </w:rPr>
        <w:t>內</w:t>
      </w:r>
      <w:r w:rsidRPr="00C1264A">
        <w:rPr>
          <w:rFonts w:eastAsia="標楷體"/>
          <w:b/>
          <w:sz w:val="32"/>
          <w:szCs w:val="32"/>
        </w:rPr>
        <w:t xml:space="preserve">  </w:t>
      </w:r>
      <w:r w:rsidRPr="00C1264A">
        <w:rPr>
          <w:rFonts w:eastAsia="標楷體" w:hAnsi="標楷體"/>
          <w:b/>
          <w:sz w:val="32"/>
          <w:szCs w:val="32"/>
        </w:rPr>
        <w:t>容</w:t>
      </w:r>
    </w:p>
    <w:p w:rsidR="00303EF2" w:rsidRPr="00C1264A" w:rsidRDefault="00303EF2" w:rsidP="00303EF2">
      <w:pPr>
        <w:spacing w:beforeLines="15" w:afterLines="15" w:line="460" w:lineRule="exact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一、如何選用基肥</w:t>
      </w:r>
    </w:p>
    <w:p w:rsidR="00303EF2" w:rsidRPr="00C1264A" w:rsidRDefault="00303EF2" w:rsidP="00303EF2">
      <w:pPr>
        <w:spacing w:beforeLines="15" w:afterLines="15" w:line="460" w:lineRule="exact"/>
        <w:ind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/>
          <w:sz w:val="28"/>
          <w:szCs w:val="28"/>
        </w:rPr>
        <w:t xml:space="preserve"> </w:t>
      </w:r>
      <w:r w:rsidRPr="00C1264A">
        <w:rPr>
          <w:rFonts w:eastAsia="標楷體" w:hAnsi="標楷體"/>
          <w:sz w:val="28"/>
          <w:szCs w:val="28"/>
        </w:rPr>
        <w:t>一般基肥是指在作物播種或移植之前施入土中的肥料，其效用主要在供給作物生長初期的養分需求；但果樹是長期性的作物，其基肥的施用則有維持果樹</w:t>
      </w:r>
      <w:r w:rsidRPr="00C1264A">
        <w:rPr>
          <w:rFonts w:eastAsia="標楷體" w:hAnsi="標楷體"/>
          <w:sz w:val="28"/>
          <w:szCs w:val="28"/>
        </w:rPr>
        <w:lastRenderedPageBreak/>
        <w:t>周年生育的</w:t>
      </w:r>
      <w:proofErr w:type="gramStart"/>
      <w:r w:rsidRPr="00C1264A">
        <w:rPr>
          <w:rFonts w:eastAsia="標楷體" w:hAnsi="標楷體"/>
          <w:sz w:val="28"/>
          <w:szCs w:val="28"/>
        </w:rPr>
        <w:t>基本需肥效益</w:t>
      </w:r>
      <w:proofErr w:type="gramEnd"/>
      <w:r w:rsidRPr="00C1264A">
        <w:rPr>
          <w:rFonts w:eastAsia="標楷體" w:hAnsi="標楷體"/>
          <w:sz w:val="28"/>
          <w:szCs w:val="28"/>
        </w:rPr>
        <w:t>。因此，其施用時機應特別考量該果樹的開花生理習性，以不影響花芽分化與形成為最大前提；再據以調控肥料種類的選擇及其施用量的配置，以各生育階段能穩定生長為主要目的。茲以溫帶果樹葡萄、亞熱帶果樹枇杷，以及熱帶果樹的紅龍果為例，簡述如何選用基肥。</w:t>
      </w:r>
    </w:p>
    <w:p w:rsidR="00303EF2" w:rsidRPr="00C1264A" w:rsidRDefault="00303EF2" w:rsidP="00303EF2">
      <w:pPr>
        <w:spacing w:beforeLines="15" w:afterLines="15" w:line="460" w:lineRule="exact"/>
        <w:ind w:leftChars="75" w:left="180"/>
        <w:rPr>
          <w:rFonts w:eastAsia="標楷體"/>
          <w:sz w:val="28"/>
          <w:szCs w:val="28"/>
        </w:rPr>
      </w:pPr>
      <w:r w:rsidRPr="00C1264A">
        <w:rPr>
          <w:rFonts w:eastAsia="標楷體"/>
          <w:sz w:val="28"/>
          <w:szCs w:val="28"/>
        </w:rPr>
        <w:t>(</w:t>
      </w:r>
      <w:proofErr w:type="gramStart"/>
      <w:r w:rsidRPr="00C1264A">
        <w:rPr>
          <w:rFonts w:eastAsia="標楷體" w:hAnsi="標楷體"/>
          <w:sz w:val="28"/>
          <w:szCs w:val="28"/>
        </w:rPr>
        <w:t>一</w:t>
      </w:r>
      <w:proofErr w:type="gramEnd"/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葡萄的基肥施用</w:t>
      </w:r>
    </w:p>
    <w:p w:rsidR="00303EF2" w:rsidRPr="00C1264A" w:rsidRDefault="00303EF2" w:rsidP="00303EF2">
      <w:pPr>
        <w:spacing w:beforeLines="15" w:afterLines="15" w:line="460" w:lineRule="exact"/>
        <w:ind w:leftChars="75" w:left="180"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台灣葡萄產業以一年二收為主，由於其花芽分化於上年度已完成，當年度基肥施用則不用再考量是否會影響到開花能力，而是應考慮其對修剪催芽後</w:t>
      </w:r>
      <w:proofErr w:type="gramStart"/>
      <w:r w:rsidRPr="00C1264A">
        <w:rPr>
          <w:rFonts w:eastAsia="標楷體" w:hAnsi="標楷體"/>
          <w:sz w:val="28"/>
          <w:szCs w:val="28"/>
        </w:rPr>
        <w:t>新梢抽長</w:t>
      </w:r>
      <w:proofErr w:type="gramEnd"/>
      <w:r w:rsidRPr="00C1264A">
        <w:rPr>
          <w:rFonts w:eastAsia="標楷體" w:hAnsi="標楷體"/>
          <w:sz w:val="28"/>
          <w:szCs w:val="28"/>
        </w:rPr>
        <w:t>期間</w:t>
      </w:r>
      <w:proofErr w:type="gramStart"/>
      <w:r w:rsidRPr="00C1264A">
        <w:rPr>
          <w:rFonts w:eastAsia="標楷體" w:hAnsi="標楷體"/>
          <w:sz w:val="28"/>
          <w:szCs w:val="28"/>
        </w:rPr>
        <w:t>的著</w:t>
      </w:r>
      <w:proofErr w:type="gramEnd"/>
      <w:r w:rsidRPr="00C1264A">
        <w:rPr>
          <w:rFonts w:eastAsia="標楷體" w:hAnsi="標楷體"/>
          <w:sz w:val="28"/>
          <w:szCs w:val="28"/>
        </w:rPr>
        <w:t>果情形；因為新梢</w:t>
      </w:r>
      <w:proofErr w:type="gramStart"/>
      <w:r w:rsidRPr="00C1264A">
        <w:rPr>
          <w:rFonts w:eastAsia="標楷體" w:hAnsi="標楷體"/>
          <w:sz w:val="28"/>
          <w:szCs w:val="28"/>
        </w:rPr>
        <w:t>生長勢太強</w:t>
      </w:r>
      <w:proofErr w:type="gramEnd"/>
      <w:r w:rsidRPr="00C1264A">
        <w:rPr>
          <w:rFonts w:eastAsia="標楷體" w:hAnsi="標楷體"/>
          <w:sz w:val="28"/>
          <w:szCs w:val="28"/>
        </w:rPr>
        <w:t>會嚴重影響花穗</w:t>
      </w:r>
      <w:proofErr w:type="gramStart"/>
      <w:r w:rsidRPr="00C1264A">
        <w:rPr>
          <w:rFonts w:eastAsia="標楷體" w:hAnsi="標楷體"/>
          <w:sz w:val="28"/>
          <w:szCs w:val="28"/>
        </w:rPr>
        <w:t>的著果率</w:t>
      </w:r>
      <w:proofErr w:type="gramEnd"/>
      <w:r w:rsidRPr="00C1264A">
        <w:rPr>
          <w:rFonts w:eastAsia="標楷體"/>
          <w:sz w:val="28"/>
          <w:szCs w:val="28"/>
        </w:rPr>
        <w:t>(</w:t>
      </w:r>
      <w:proofErr w:type="gramStart"/>
      <w:r w:rsidRPr="00C1264A">
        <w:rPr>
          <w:rFonts w:eastAsia="標楷體" w:hAnsi="標楷體"/>
          <w:sz w:val="28"/>
          <w:szCs w:val="28"/>
        </w:rPr>
        <w:t>俗稱流花</w:t>
      </w:r>
      <w:proofErr w:type="gramEnd"/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，而使果穗品質低劣。因此，葡萄基肥的施用時機</w:t>
      </w:r>
      <w:proofErr w:type="gramStart"/>
      <w:r w:rsidRPr="00C1264A">
        <w:rPr>
          <w:rFonts w:eastAsia="標楷體" w:hAnsi="標楷體"/>
          <w:sz w:val="28"/>
          <w:szCs w:val="28"/>
        </w:rPr>
        <w:t>為冬果收穫</w:t>
      </w:r>
      <w:proofErr w:type="gramEnd"/>
      <w:r w:rsidRPr="00C1264A">
        <w:rPr>
          <w:rFonts w:eastAsia="標楷體" w:hAnsi="標楷體"/>
          <w:sz w:val="28"/>
          <w:szCs w:val="28"/>
        </w:rPr>
        <w:t>後、夏果修剪前，以低</w:t>
      </w:r>
      <w:proofErr w:type="gramStart"/>
      <w:r w:rsidRPr="00C1264A">
        <w:rPr>
          <w:rFonts w:eastAsia="標楷體" w:hAnsi="標楷體"/>
          <w:sz w:val="28"/>
          <w:szCs w:val="28"/>
        </w:rPr>
        <w:t>氮粗質</w:t>
      </w:r>
      <w:proofErr w:type="gramEnd"/>
      <w:r w:rsidRPr="00C1264A">
        <w:rPr>
          <w:rFonts w:eastAsia="標楷體" w:hAnsi="標楷體"/>
          <w:sz w:val="28"/>
          <w:szCs w:val="28"/>
        </w:rPr>
        <w:t>的堆肥中耕掩埋入土，用以</w:t>
      </w:r>
      <w:proofErr w:type="gramStart"/>
      <w:r w:rsidRPr="00C1264A">
        <w:rPr>
          <w:rFonts w:eastAsia="標楷體" w:hAnsi="標楷體"/>
          <w:sz w:val="28"/>
          <w:szCs w:val="28"/>
        </w:rPr>
        <w:t>促長新根</w:t>
      </w:r>
      <w:proofErr w:type="gramEnd"/>
      <w:r w:rsidRPr="00C1264A">
        <w:rPr>
          <w:rFonts w:eastAsia="標楷體" w:hAnsi="標楷體"/>
          <w:sz w:val="28"/>
          <w:szCs w:val="28"/>
        </w:rPr>
        <w:t>並調控新梢的生長速度而</w:t>
      </w:r>
      <w:proofErr w:type="gramStart"/>
      <w:r w:rsidRPr="00C1264A">
        <w:rPr>
          <w:rFonts w:eastAsia="標楷體" w:hAnsi="標楷體"/>
          <w:sz w:val="28"/>
          <w:szCs w:val="28"/>
        </w:rPr>
        <w:t>穩定著</w:t>
      </w:r>
      <w:proofErr w:type="gramEnd"/>
      <w:r w:rsidRPr="00C1264A">
        <w:rPr>
          <w:rFonts w:eastAsia="標楷體" w:hAnsi="標楷體"/>
          <w:sz w:val="28"/>
          <w:szCs w:val="28"/>
        </w:rPr>
        <w:t>果生育。</w:t>
      </w:r>
    </w:p>
    <w:p w:rsidR="00303EF2" w:rsidRPr="00C1264A" w:rsidRDefault="00303EF2" w:rsidP="00303EF2">
      <w:pPr>
        <w:spacing w:beforeLines="15" w:afterLines="15" w:line="460" w:lineRule="exact"/>
        <w:ind w:leftChars="75" w:left="180"/>
        <w:rPr>
          <w:rFonts w:eastAsia="標楷體"/>
          <w:sz w:val="28"/>
          <w:szCs w:val="28"/>
        </w:rPr>
      </w:pPr>
      <w:r w:rsidRPr="00C1264A">
        <w:rPr>
          <w:rFonts w:eastAsia="標楷體"/>
          <w:sz w:val="28"/>
          <w:szCs w:val="28"/>
        </w:rPr>
        <w:t>(</w:t>
      </w:r>
      <w:r w:rsidRPr="00C1264A">
        <w:rPr>
          <w:rFonts w:eastAsia="標楷體" w:hAnsi="標楷體"/>
          <w:sz w:val="28"/>
          <w:szCs w:val="28"/>
        </w:rPr>
        <w:t>二</w:t>
      </w:r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枇杷的基肥施用</w:t>
      </w:r>
    </w:p>
    <w:p w:rsidR="00303EF2" w:rsidRPr="00C1264A" w:rsidRDefault="00303EF2" w:rsidP="00303EF2">
      <w:pPr>
        <w:spacing w:beforeLines="15" w:afterLines="15" w:line="460" w:lineRule="exact"/>
        <w:ind w:leftChars="75" w:left="180"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枇杷是典型的亞熱帶果樹，</w:t>
      </w:r>
      <w:r w:rsidRPr="00C1264A">
        <w:rPr>
          <w:rFonts w:eastAsia="標楷體"/>
          <w:sz w:val="28"/>
          <w:szCs w:val="28"/>
        </w:rPr>
        <w:t>3-4</w:t>
      </w:r>
      <w:r w:rsidRPr="00C1264A">
        <w:rPr>
          <w:rFonts w:eastAsia="標楷體" w:hAnsi="標楷體"/>
          <w:sz w:val="28"/>
          <w:szCs w:val="28"/>
        </w:rPr>
        <w:t>月為產期，以</w:t>
      </w:r>
      <w:r w:rsidRPr="00C1264A">
        <w:rPr>
          <w:rFonts w:eastAsia="標楷體"/>
          <w:sz w:val="28"/>
          <w:szCs w:val="28"/>
        </w:rPr>
        <w:t>4-5</w:t>
      </w:r>
      <w:r w:rsidRPr="00C1264A">
        <w:rPr>
          <w:rFonts w:eastAsia="標楷體" w:hAnsi="標楷體"/>
          <w:sz w:val="28"/>
          <w:szCs w:val="28"/>
        </w:rPr>
        <w:t>月的</w:t>
      </w:r>
      <w:proofErr w:type="gramStart"/>
      <w:r w:rsidRPr="00C1264A">
        <w:rPr>
          <w:rFonts w:eastAsia="標楷體" w:hAnsi="標楷體"/>
          <w:sz w:val="28"/>
          <w:szCs w:val="28"/>
        </w:rPr>
        <w:t>果痕枝</w:t>
      </w:r>
      <w:proofErr w:type="gramEnd"/>
      <w:r w:rsidRPr="00C1264A">
        <w:rPr>
          <w:rFonts w:eastAsia="標楷體" w:hAnsi="標楷體"/>
          <w:sz w:val="28"/>
          <w:szCs w:val="28"/>
        </w:rPr>
        <w:t>為當年主要結果枝；而一般</w:t>
      </w:r>
      <w:proofErr w:type="gramStart"/>
      <w:r w:rsidRPr="00C1264A">
        <w:rPr>
          <w:rFonts w:eastAsia="標楷體" w:hAnsi="標楷體"/>
          <w:sz w:val="28"/>
          <w:szCs w:val="28"/>
        </w:rPr>
        <w:t>果痕枝於</w:t>
      </w:r>
      <w:proofErr w:type="gramEnd"/>
      <w:r w:rsidRPr="00C1264A">
        <w:rPr>
          <w:rFonts w:eastAsia="標楷體"/>
          <w:sz w:val="28"/>
          <w:szCs w:val="28"/>
        </w:rPr>
        <w:t>8-9</w:t>
      </w:r>
      <w:r w:rsidRPr="00C1264A">
        <w:rPr>
          <w:rFonts w:eastAsia="標楷體" w:hAnsi="標楷體"/>
          <w:sz w:val="28"/>
          <w:szCs w:val="28"/>
        </w:rPr>
        <w:t>月停梢、</w:t>
      </w:r>
      <w:r w:rsidRPr="00C1264A">
        <w:rPr>
          <w:rFonts w:eastAsia="標楷體"/>
          <w:sz w:val="28"/>
          <w:szCs w:val="28"/>
        </w:rPr>
        <w:t>10-12</w:t>
      </w:r>
      <w:r w:rsidRPr="00C1264A">
        <w:rPr>
          <w:rFonts w:eastAsia="標楷體" w:hAnsi="標楷體"/>
          <w:sz w:val="28"/>
          <w:szCs w:val="28"/>
        </w:rPr>
        <w:t>月抽穗開花。若以早期</w:t>
      </w:r>
      <w:proofErr w:type="gramStart"/>
      <w:r w:rsidRPr="00C1264A">
        <w:rPr>
          <w:rFonts w:eastAsia="標楷體" w:hAnsi="標楷體"/>
          <w:sz w:val="28"/>
          <w:szCs w:val="28"/>
        </w:rPr>
        <w:t>慣施未堆肥</w:t>
      </w:r>
      <w:proofErr w:type="gramEnd"/>
      <w:r w:rsidRPr="00C1264A">
        <w:rPr>
          <w:rFonts w:eastAsia="標楷體" w:hAnsi="標楷體"/>
          <w:sz w:val="28"/>
          <w:szCs w:val="28"/>
        </w:rPr>
        <w:t>化之有機</w:t>
      </w:r>
      <w:proofErr w:type="gramStart"/>
      <w:r w:rsidRPr="00C1264A">
        <w:rPr>
          <w:rFonts w:eastAsia="標楷體" w:hAnsi="標楷體"/>
          <w:sz w:val="28"/>
          <w:szCs w:val="28"/>
        </w:rPr>
        <w:t>資材於</w:t>
      </w:r>
      <w:proofErr w:type="gramEnd"/>
      <w:r w:rsidRPr="00C1264A">
        <w:rPr>
          <w:rFonts w:eastAsia="標楷體"/>
          <w:sz w:val="28"/>
          <w:szCs w:val="28"/>
        </w:rPr>
        <w:t>11-12</w:t>
      </w:r>
      <w:r w:rsidRPr="00C1264A">
        <w:rPr>
          <w:rFonts w:eastAsia="標楷體" w:hAnsi="標楷體"/>
          <w:sz w:val="28"/>
          <w:szCs w:val="28"/>
        </w:rPr>
        <w:t>月或</w:t>
      </w:r>
      <w:r w:rsidRPr="00C1264A">
        <w:rPr>
          <w:rFonts w:eastAsia="標楷體"/>
          <w:sz w:val="28"/>
          <w:szCs w:val="28"/>
        </w:rPr>
        <w:t>4-5</w:t>
      </w:r>
      <w:r w:rsidRPr="00C1264A">
        <w:rPr>
          <w:rFonts w:eastAsia="標楷體" w:hAnsi="標楷體"/>
          <w:sz w:val="28"/>
          <w:szCs w:val="28"/>
        </w:rPr>
        <w:t>月施入土中，則會明顯影響當年枇杷的花芽分化，而造成開花延遲及</w:t>
      </w:r>
      <w:proofErr w:type="gramStart"/>
      <w:r w:rsidRPr="00C1264A">
        <w:rPr>
          <w:rFonts w:eastAsia="標楷體" w:hAnsi="標楷體"/>
          <w:sz w:val="28"/>
          <w:szCs w:val="28"/>
        </w:rPr>
        <w:t>抽花率減少</w:t>
      </w:r>
      <w:proofErr w:type="gramEnd"/>
      <w:r w:rsidRPr="00C1264A">
        <w:rPr>
          <w:rFonts w:eastAsia="標楷體" w:hAnsi="標楷體"/>
          <w:sz w:val="28"/>
          <w:szCs w:val="28"/>
        </w:rPr>
        <w:t>現象。因此，枇杷基肥的施用時機應為</w:t>
      </w:r>
      <w:r w:rsidRPr="00C1264A">
        <w:rPr>
          <w:rFonts w:eastAsia="標楷體"/>
          <w:sz w:val="28"/>
          <w:szCs w:val="28"/>
        </w:rPr>
        <w:t>8-9</w:t>
      </w:r>
      <w:r w:rsidRPr="00C1264A">
        <w:rPr>
          <w:rFonts w:eastAsia="標楷體" w:hAnsi="標楷體"/>
          <w:sz w:val="28"/>
          <w:szCs w:val="28"/>
        </w:rPr>
        <w:t>月（可減少停梢期前的多肥而影響開花疑慮），以三要素均衡肥效的</w:t>
      </w:r>
      <w:proofErr w:type="gramStart"/>
      <w:r w:rsidRPr="00C1264A">
        <w:rPr>
          <w:rFonts w:eastAsia="標楷體" w:hAnsi="標楷體"/>
          <w:sz w:val="28"/>
          <w:szCs w:val="28"/>
        </w:rPr>
        <w:t>堆肥開溝掩埋</w:t>
      </w:r>
      <w:proofErr w:type="gramEnd"/>
      <w:r w:rsidRPr="00C1264A">
        <w:rPr>
          <w:rFonts w:eastAsia="標楷體" w:hAnsi="標楷體"/>
          <w:sz w:val="28"/>
          <w:szCs w:val="28"/>
        </w:rPr>
        <w:t>入土，除可部份更新助長新根系外，還兼收開花期至</w:t>
      </w:r>
      <w:proofErr w:type="gramStart"/>
      <w:r w:rsidRPr="00C1264A">
        <w:rPr>
          <w:rFonts w:eastAsia="標楷體" w:hAnsi="標楷體"/>
          <w:sz w:val="28"/>
          <w:szCs w:val="28"/>
        </w:rPr>
        <w:t>採</w:t>
      </w:r>
      <w:proofErr w:type="gramEnd"/>
      <w:r w:rsidRPr="00C1264A">
        <w:rPr>
          <w:rFonts w:eastAsia="標楷體" w:hAnsi="標楷體"/>
          <w:sz w:val="28"/>
          <w:szCs w:val="28"/>
        </w:rPr>
        <w:t>收期的肥分供給功能。</w:t>
      </w:r>
    </w:p>
    <w:p w:rsidR="00303EF2" w:rsidRPr="00C1264A" w:rsidRDefault="00303EF2" w:rsidP="00303EF2">
      <w:pPr>
        <w:spacing w:beforeLines="15" w:afterLines="15" w:line="460" w:lineRule="exact"/>
        <w:ind w:leftChars="75" w:left="180"/>
        <w:rPr>
          <w:rFonts w:eastAsia="標楷體"/>
          <w:sz w:val="28"/>
          <w:szCs w:val="28"/>
        </w:rPr>
      </w:pPr>
      <w:r w:rsidRPr="00C1264A">
        <w:rPr>
          <w:rFonts w:eastAsia="標楷體"/>
          <w:sz w:val="28"/>
          <w:szCs w:val="28"/>
        </w:rPr>
        <w:t>(</w:t>
      </w:r>
      <w:r w:rsidRPr="00C1264A">
        <w:rPr>
          <w:rFonts w:eastAsia="標楷體" w:hAnsi="標楷體"/>
          <w:sz w:val="28"/>
          <w:szCs w:val="28"/>
        </w:rPr>
        <w:t>三</w:t>
      </w:r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紅龍果的基肥施用</w:t>
      </w:r>
    </w:p>
    <w:p w:rsidR="00303EF2" w:rsidRPr="00C1264A" w:rsidRDefault="00303EF2" w:rsidP="00303EF2">
      <w:pPr>
        <w:spacing w:beforeLines="15" w:afterLines="15" w:line="460" w:lineRule="exact"/>
        <w:ind w:leftChars="75" w:left="180"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紅龍果為熱帶果樹，</w:t>
      </w:r>
      <w:r w:rsidRPr="00C1264A">
        <w:rPr>
          <w:rFonts w:eastAsia="標楷體"/>
          <w:sz w:val="28"/>
          <w:szCs w:val="28"/>
        </w:rPr>
        <w:t>4-5</w:t>
      </w:r>
      <w:r w:rsidRPr="00C1264A">
        <w:rPr>
          <w:rFonts w:eastAsia="標楷體" w:hAnsi="標楷體"/>
          <w:sz w:val="28"/>
          <w:szCs w:val="28"/>
        </w:rPr>
        <w:t>月停止側梢萌發，</w:t>
      </w:r>
      <w:r w:rsidRPr="00C1264A">
        <w:rPr>
          <w:rFonts w:eastAsia="標楷體"/>
          <w:sz w:val="28"/>
          <w:szCs w:val="28"/>
        </w:rPr>
        <w:t>5-8</w:t>
      </w:r>
      <w:r w:rsidRPr="00C1264A">
        <w:rPr>
          <w:rFonts w:eastAsia="標楷體" w:hAnsi="標楷體"/>
          <w:sz w:val="28"/>
          <w:szCs w:val="28"/>
        </w:rPr>
        <w:t>月花苞分批次抽出生長，每年約有</w:t>
      </w:r>
      <w:r w:rsidRPr="00C1264A">
        <w:rPr>
          <w:rFonts w:eastAsia="標楷體"/>
          <w:sz w:val="28"/>
          <w:szCs w:val="28"/>
        </w:rPr>
        <w:t>8-10</w:t>
      </w:r>
      <w:r w:rsidRPr="00C1264A">
        <w:rPr>
          <w:rFonts w:eastAsia="標楷體" w:hAnsi="標楷體"/>
          <w:sz w:val="28"/>
          <w:szCs w:val="28"/>
        </w:rPr>
        <w:t>批次的蕾</w:t>
      </w:r>
      <w:proofErr w:type="gramStart"/>
      <w:r w:rsidRPr="00C1264A">
        <w:rPr>
          <w:rFonts w:eastAsia="標楷體" w:hAnsi="標楷體"/>
          <w:sz w:val="28"/>
          <w:szCs w:val="28"/>
        </w:rPr>
        <w:t>苞</w:t>
      </w:r>
      <w:proofErr w:type="gramEnd"/>
      <w:r w:rsidRPr="00C1264A">
        <w:rPr>
          <w:rFonts w:eastAsia="標楷體" w:hAnsi="標楷體"/>
          <w:sz w:val="28"/>
          <w:szCs w:val="28"/>
        </w:rPr>
        <w:t>，盛產期為</w:t>
      </w:r>
      <w:r w:rsidRPr="00C1264A">
        <w:rPr>
          <w:rFonts w:eastAsia="標楷體"/>
          <w:sz w:val="28"/>
          <w:szCs w:val="28"/>
        </w:rPr>
        <w:t>6-10</w:t>
      </w:r>
      <w:r w:rsidRPr="00C1264A">
        <w:rPr>
          <w:rFonts w:eastAsia="標楷體" w:hAnsi="標楷體"/>
          <w:sz w:val="28"/>
          <w:szCs w:val="28"/>
        </w:rPr>
        <w:t>月；花芽形成主要受制於溫度與日長二因子的調控，故</w:t>
      </w:r>
      <w:r w:rsidRPr="00C1264A">
        <w:rPr>
          <w:rFonts w:eastAsia="標楷體"/>
          <w:sz w:val="28"/>
          <w:szCs w:val="28"/>
        </w:rPr>
        <w:t>11-12</w:t>
      </w:r>
      <w:r w:rsidRPr="00C1264A">
        <w:rPr>
          <w:rFonts w:eastAsia="標楷體" w:hAnsi="標楷體"/>
          <w:sz w:val="28"/>
          <w:szCs w:val="28"/>
        </w:rPr>
        <w:t>月的基肥施用與其花芽形成無密切相關。</w:t>
      </w:r>
      <w:proofErr w:type="gramStart"/>
      <w:r w:rsidRPr="00C1264A">
        <w:rPr>
          <w:rFonts w:eastAsia="標楷體" w:hAnsi="標楷體"/>
          <w:sz w:val="28"/>
          <w:szCs w:val="28"/>
        </w:rPr>
        <w:t>惟</w:t>
      </w:r>
      <w:proofErr w:type="gramEnd"/>
      <w:r w:rsidRPr="00C1264A">
        <w:rPr>
          <w:rFonts w:eastAsia="標楷體" w:hAnsi="標楷體"/>
          <w:sz w:val="28"/>
          <w:szCs w:val="28"/>
        </w:rPr>
        <w:t>冬季是大量萌生側梢的時期，若再施用富含高量氮素的基肥，則必須虛擲更多的</w:t>
      </w:r>
      <w:proofErr w:type="gramStart"/>
      <w:r w:rsidRPr="00C1264A">
        <w:rPr>
          <w:rFonts w:eastAsia="標楷體" w:hAnsi="標楷體"/>
          <w:sz w:val="28"/>
          <w:szCs w:val="28"/>
        </w:rPr>
        <w:t>選留側梢</w:t>
      </w:r>
      <w:proofErr w:type="gramEnd"/>
      <w:r w:rsidRPr="00C1264A">
        <w:rPr>
          <w:rFonts w:eastAsia="標楷體" w:hAnsi="標楷體"/>
          <w:sz w:val="28"/>
          <w:szCs w:val="28"/>
        </w:rPr>
        <w:t>作業工時；因此，紅龍果的基肥施用技術在於選用低</w:t>
      </w:r>
      <w:proofErr w:type="gramStart"/>
      <w:r w:rsidRPr="00C1264A">
        <w:rPr>
          <w:rFonts w:eastAsia="標楷體" w:hAnsi="標楷體"/>
          <w:sz w:val="28"/>
          <w:szCs w:val="28"/>
        </w:rPr>
        <w:t>氮粗質</w:t>
      </w:r>
      <w:proofErr w:type="gramEnd"/>
      <w:r w:rsidRPr="00C1264A">
        <w:rPr>
          <w:rFonts w:eastAsia="標楷體" w:hAnsi="標楷體"/>
          <w:sz w:val="28"/>
          <w:szCs w:val="28"/>
        </w:rPr>
        <w:t>的堆肥，以減少側梢的萌生。</w:t>
      </w:r>
      <w:r w:rsidRPr="00C1264A">
        <w:rPr>
          <w:rFonts w:eastAsia="標楷體"/>
          <w:sz w:val="28"/>
          <w:szCs w:val="28"/>
        </w:rPr>
        <w:t xml:space="preserve">    </w:t>
      </w:r>
    </w:p>
    <w:p w:rsidR="00303EF2" w:rsidRDefault="00303EF2" w:rsidP="00303EF2">
      <w:pPr>
        <w:spacing w:beforeLines="15" w:afterLines="15" w:line="460" w:lineRule="exact"/>
        <w:rPr>
          <w:rFonts w:eastAsia="標楷體" w:hAnsi="標楷體" w:hint="eastAsia"/>
          <w:sz w:val="28"/>
          <w:szCs w:val="28"/>
        </w:rPr>
      </w:pPr>
    </w:p>
    <w:p w:rsidR="00303EF2" w:rsidRPr="00C1264A" w:rsidRDefault="00303EF2" w:rsidP="00303EF2">
      <w:pPr>
        <w:spacing w:beforeLines="15" w:afterLines="15" w:line="460" w:lineRule="exact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二、基肥施用要領</w:t>
      </w:r>
    </w:p>
    <w:p w:rsidR="00303EF2" w:rsidRPr="00C1264A" w:rsidRDefault="00303EF2" w:rsidP="00303EF2">
      <w:pPr>
        <w:spacing w:beforeLines="15" w:afterLines="15" w:line="460" w:lineRule="exact"/>
        <w:ind w:leftChars="75" w:left="180"/>
        <w:rPr>
          <w:rFonts w:eastAsia="標楷體"/>
          <w:sz w:val="28"/>
          <w:szCs w:val="28"/>
        </w:rPr>
      </w:pPr>
      <w:r w:rsidRPr="00C1264A">
        <w:rPr>
          <w:rFonts w:eastAsia="標楷體"/>
          <w:sz w:val="28"/>
          <w:szCs w:val="28"/>
        </w:rPr>
        <w:t>(</w:t>
      </w:r>
      <w:proofErr w:type="gramStart"/>
      <w:r w:rsidRPr="00C1264A">
        <w:rPr>
          <w:rFonts w:eastAsia="標楷體" w:hAnsi="標楷體"/>
          <w:sz w:val="28"/>
          <w:szCs w:val="28"/>
        </w:rPr>
        <w:t>一</w:t>
      </w:r>
      <w:proofErr w:type="gramEnd"/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慎選最適宜的時機</w:t>
      </w:r>
    </w:p>
    <w:p w:rsidR="00303EF2" w:rsidRPr="00C1264A" w:rsidRDefault="00303EF2" w:rsidP="00303EF2">
      <w:pPr>
        <w:spacing w:beforeLines="15" w:afterLines="15" w:line="460" w:lineRule="exact"/>
        <w:ind w:leftChars="75" w:left="180" w:firstLineChars="192" w:firstLine="538"/>
        <w:rPr>
          <w:rFonts w:eastAsia="標楷體"/>
          <w:sz w:val="28"/>
          <w:szCs w:val="28"/>
        </w:rPr>
      </w:pPr>
      <w:proofErr w:type="gramStart"/>
      <w:r w:rsidRPr="00C1264A">
        <w:rPr>
          <w:rFonts w:eastAsia="標楷體" w:hAnsi="標楷體"/>
          <w:sz w:val="28"/>
          <w:szCs w:val="28"/>
        </w:rPr>
        <w:t>果園慣行基肥</w:t>
      </w:r>
      <w:proofErr w:type="gramEnd"/>
      <w:r w:rsidRPr="00C1264A">
        <w:rPr>
          <w:rFonts w:eastAsia="標楷體" w:hAnsi="標楷體"/>
          <w:sz w:val="28"/>
          <w:szCs w:val="28"/>
        </w:rPr>
        <w:t>施用時段一般在花期前，其施用時機因不同作物的生理習性</w:t>
      </w:r>
      <w:r w:rsidRPr="00C1264A">
        <w:rPr>
          <w:rFonts w:eastAsia="標楷體" w:hAnsi="標楷體"/>
          <w:sz w:val="28"/>
          <w:szCs w:val="28"/>
        </w:rPr>
        <w:lastRenderedPageBreak/>
        <w:t>而有不同的最佳時段，以及不同肥料資材的選擇；</w:t>
      </w:r>
      <w:proofErr w:type="gramStart"/>
      <w:r w:rsidRPr="00C1264A">
        <w:rPr>
          <w:rFonts w:eastAsia="標楷體" w:hAnsi="標楷體"/>
          <w:sz w:val="28"/>
          <w:szCs w:val="28"/>
        </w:rPr>
        <w:t>惟</w:t>
      </w:r>
      <w:proofErr w:type="gramEnd"/>
      <w:r w:rsidRPr="00C1264A">
        <w:rPr>
          <w:rFonts w:eastAsia="標楷體" w:hAnsi="標楷體"/>
          <w:sz w:val="28"/>
          <w:szCs w:val="28"/>
        </w:rPr>
        <w:t>不可影響到爾後的開花著果或加重生育管理負擔。</w:t>
      </w:r>
    </w:p>
    <w:p w:rsidR="00303EF2" w:rsidRPr="00C1264A" w:rsidRDefault="00303EF2" w:rsidP="00303EF2">
      <w:pPr>
        <w:spacing w:beforeLines="15" w:afterLines="15" w:line="460" w:lineRule="exact"/>
        <w:ind w:leftChars="75" w:left="180"/>
        <w:rPr>
          <w:rFonts w:eastAsia="標楷體"/>
          <w:sz w:val="28"/>
          <w:szCs w:val="28"/>
        </w:rPr>
      </w:pPr>
      <w:r w:rsidRPr="00C1264A">
        <w:rPr>
          <w:rFonts w:eastAsia="標楷體"/>
          <w:sz w:val="28"/>
          <w:szCs w:val="28"/>
        </w:rPr>
        <w:t>(</w:t>
      </w:r>
      <w:r w:rsidRPr="00C1264A">
        <w:rPr>
          <w:rFonts w:eastAsia="標楷體" w:hAnsi="標楷體"/>
          <w:sz w:val="28"/>
          <w:szCs w:val="28"/>
        </w:rPr>
        <w:t>二</w:t>
      </w:r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土壤有機質的補充</w:t>
      </w:r>
    </w:p>
    <w:p w:rsidR="00303EF2" w:rsidRPr="00C1264A" w:rsidRDefault="00303EF2" w:rsidP="00303EF2">
      <w:pPr>
        <w:spacing w:beforeLines="15" w:afterLines="15" w:line="460" w:lineRule="exact"/>
        <w:ind w:leftChars="75" w:left="180"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利用</w:t>
      </w:r>
      <w:proofErr w:type="gramStart"/>
      <w:r w:rsidRPr="00C1264A">
        <w:rPr>
          <w:rFonts w:eastAsia="標楷體" w:hAnsi="標楷體"/>
          <w:sz w:val="28"/>
          <w:szCs w:val="28"/>
        </w:rPr>
        <w:t>粗質低肥且</w:t>
      </w:r>
      <w:proofErr w:type="gramEnd"/>
      <w:r w:rsidRPr="00C1264A">
        <w:rPr>
          <w:rFonts w:eastAsia="標楷體" w:hAnsi="標楷體"/>
          <w:sz w:val="28"/>
          <w:szCs w:val="28"/>
        </w:rPr>
        <w:t>完全腐熟的有機質肥料來補充土壤有機質含量達</w:t>
      </w:r>
      <w:r w:rsidRPr="00C1264A">
        <w:rPr>
          <w:rFonts w:eastAsia="標楷體"/>
          <w:sz w:val="28"/>
          <w:szCs w:val="28"/>
        </w:rPr>
        <w:t>3%</w:t>
      </w:r>
      <w:r w:rsidRPr="00C1264A">
        <w:rPr>
          <w:rFonts w:eastAsia="標楷體" w:hAnsi="標楷體"/>
          <w:sz w:val="28"/>
          <w:szCs w:val="28"/>
        </w:rPr>
        <w:t>以上，可改善果園土壤環境的理化性及生物性，以維持高產能的生產需求。</w:t>
      </w:r>
    </w:p>
    <w:p w:rsidR="00303EF2" w:rsidRPr="00C1264A" w:rsidRDefault="00303EF2" w:rsidP="00303EF2">
      <w:pPr>
        <w:spacing w:beforeLines="15" w:afterLines="15" w:line="460" w:lineRule="exact"/>
        <w:ind w:leftChars="75" w:left="180"/>
        <w:rPr>
          <w:rFonts w:eastAsia="標楷體"/>
          <w:sz w:val="28"/>
          <w:szCs w:val="28"/>
        </w:rPr>
      </w:pPr>
      <w:r w:rsidRPr="00C1264A">
        <w:rPr>
          <w:rFonts w:eastAsia="標楷體"/>
          <w:sz w:val="28"/>
          <w:szCs w:val="28"/>
        </w:rPr>
        <w:t>(</w:t>
      </w:r>
      <w:r w:rsidRPr="00C1264A">
        <w:rPr>
          <w:rFonts w:eastAsia="標楷體" w:hAnsi="標楷體"/>
          <w:sz w:val="28"/>
          <w:szCs w:val="28"/>
        </w:rPr>
        <w:t>三</w:t>
      </w:r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土壤</w:t>
      </w:r>
      <w:r w:rsidRPr="00C1264A">
        <w:rPr>
          <w:rFonts w:eastAsia="標楷體"/>
          <w:sz w:val="28"/>
          <w:szCs w:val="28"/>
        </w:rPr>
        <w:t>pH</w:t>
      </w:r>
      <w:r w:rsidRPr="00C1264A">
        <w:rPr>
          <w:rFonts w:eastAsia="標楷體" w:hAnsi="標楷體"/>
          <w:sz w:val="28"/>
          <w:szCs w:val="28"/>
        </w:rPr>
        <w:t>值的調整</w:t>
      </w:r>
    </w:p>
    <w:p w:rsidR="00303EF2" w:rsidRPr="00C1264A" w:rsidRDefault="00303EF2" w:rsidP="00303EF2">
      <w:pPr>
        <w:spacing w:beforeLines="15" w:afterLines="15" w:line="460" w:lineRule="exact"/>
        <w:ind w:leftChars="75" w:left="180"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不同果樹各有</w:t>
      </w:r>
      <w:proofErr w:type="gramStart"/>
      <w:r w:rsidRPr="00C1264A">
        <w:rPr>
          <w:rFonts w:eastAsia="標楷體" w:hAnsi="標楷體"/>
          <w:sz w:val="28"/>
          <w:szCs w:val="28"/>
        </w:rPr>
        <w:t>其根域活力</w:t>
      </w:r>
      <w:proofErr w:type="gramEnd"/>
      <w:r w:rsidRPr="00C1264A">
        <w:rPr>
          <w:rFonts w:eastAsia="標楷體" w:hAnsi="標楷體"/>
          <w:sz w:val="28"/>
          <w:szCs w:val="28"/>
        </w:rPr>
        <w:t>最佳的土壤</w:t>
      </w:r>
      <w:r w:rsidRPr="00C1264A">
        <w:rPr>
          <w:rFonts w:eastAsia="標楷體"/>
          <w:sz w:val="28"/>
          <w:szCs w:val="28"/>
        </w:rPr>
        <w:t>pH</w:t>
      </w:r>
      <w:r w:rsidRPr="00C1264A">
        <w:rPr>
          <w:rFonts w:eastAsia="標楷體" w:hAnsi="標楷體"/>
          <w:sz w:val="28"/>
          <w:szCs w:val="28"/>
        </w:rPr>
        <w:t>值生長範圍，如土壤</w:t>
      </w:r>
      <w:r w:rsidRPr="00C1264A">
        <w:rPr>
          <w:rFonts w:eastAsia="標楷體"/>
          <w:sz w:val="28"/>
          <w:szCs w:val="28"/>
        </w:rPr>
        <w:t>pH</w:t>
      </w:r>
      <w:r w:rsidRPr="00C1264A">
        <w:rPr>
          <w:rFonts w:eastAsia="標楷體" w:hAnsi="標楷體"/>
          <w:sz w:val="28"/>
          <w:szCs w:val="28"/>
        </w:rPr>
        <w:t>值偏低</w:t>
      </w:r>
      <w:r w:rsidRPr="00C1264A">
        <w:rPr>
          <w:rFonts w:eastAsia="標楷體"/>
          <w:sz w:val="28"/>
          <w:szCs w:val="28"/>
        </w:rPr>
        <w:t>(</w:t>
      </w:r>
      <w:proofErr w:type="gramStart"/>
      <w:r w:rsidRPr="00C1264A">
        <w:rPr>
          <w:rFonts w:eastAsia="標楷體" w:hAnsi="標楷體"/>
          <w:sz w:val="28"/>
          <w:szCs w:val="28"/>
        </w:rPr>
        <w:t>太</w:t>
      </w:r>
      <w:proofErr w:type="gramEnd"/>
      <w:r w:rsidRPr="00C1264A">
        <w:rPr>
          <w:rFonts w:eastAsia="標楷體" w:hAnsi="標楷體"/>
          <w:sz w:val="28"/>
          <w:szCs w:val="28"/>
        </w:rPr>
        <w:t>酸</w:t>
      </w:r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則應利用石灰資材來改善；</w:t>
      </w:r>
      <w:proofErr w:type="gramStart"/>
      <w:r w:rsidRPr="00C1264A">
        <w:rPr>
          <w:rFonts w:eastAsia="標楷體" w:hAnsi="標楷體"/>
          <w:sz w:val="28"/>
          <w:szCs w:val="28"/>
        </w:rPr>
        <w:t>一般缺鎂的</w:t>
      </w:r>
      <w:proofErr w:type="gramEnd"/>
      <w:r w:rsidRPr="00C1264A">
        <w:rPr>
          <w:rFonts w:eastAsia="標楷體" w:hAnsi="標楷體"/>
          <w:sz w:val="28"/>
          <w:szCs w:val="28"/>
        </w:rPr>
        <w:t>酸性土壤可</w:t>
      </w:r>
      <w:proofErr w:type="gramStart"/>
      <w:r w:rsidRPr="00C1264A">
        <w:rPr>
          <w:rFonts w:eastAsia="標楷體" w:hAnsi="標楷體"/>
          <w:sz w:val="28"/>
          <w:szCs w:val="28"/>
        </w:rPr>
        <w:t>用苦土</w:t>
      </w:r>
      <w:proofErr w:type="gramEnd"/>
      <w:r w:rsidRPr="00C1264A">
        <w:rPr>
          <w:rFonts w:eastAsia="標楷體" w:hAnsi="標楷體"/>
          <w:sz w:val="28"/>
          <w:szCs w:val="28"/>
        </w:rPr>
        <w:t>石灰來改良，若是</w:t>
      </w:r>
      <w:proofErr w:type="gramStart"/>
      <w:r w:rsidRPr="00C1264A">
        <w:rPr>
          <w:rFonts w:eastAsia="標楷體" w:hAnsi="標楷體"/>
          <w:sz w:val="28"/>
          <w:szCs w:val="28"/>
        </w:rPr>
        <w:t>不缺鎂的</w:t>
      </w:r>
      <w:proofErr w:type="gramEnd"/>
      <w:r w:rsidRPr="00C1264A">
        <w:rPr>
          <w:rFonts w:eastAsia="標楷體" w:hAnsi="標楷體"/>
          <w:sz w:val="28"/>
          <w:szCs w:val="28"/>
        </w:rPr>
        <w:t>酸性土壤則改用石灰石粉。上述改良</w:t>
      </w:r>
      <w:proofErr w:type="gramStart"/>
      <w:r w:rsidRPr="00C1264A">
        <w:rPr>
          <w:rFonts w:eastAsia="標楷體" w:hAnsi="標楷體"/>
          <w:sz w:val="28"/>
          <w:szCs w:val="28"/>
        </w:rPr>
        <w:t>資材應較</w:t>
      </w:r>
      <w:proofErr w:type="gramEnd"/>
      <w:r w:rsidRPr="00C1264A">
        <w:rPr>
          <w:rFonts w:eastAsia="標楷體" w:hAnsi="標楷體"/>
          <w:sz w:val="28"/>
          <w:szCs w:val="28"/>
        </w:rPr>
        <w:t>有機質肥料及化學肥料提早</w:t>
      </w:r>
      <w:r w:rsidRPr="00C1264A">
        <w:rPr>
          <w:rFonts w:eastAsia="標楷體"/>
          <w:sz w:val="28"/>
          <w:szCs w:val="28"/>
        </w:rPr>
        <w:t>3</w:t>
      </w:r>
      <w:r w:rsidRPr="00C1264A">
        <w:rPr>
          <w:rFonts w:eastAsia="標楷體" w:hAnsi="標楷體"/>
          <w:sz w:val="28"/>
          <w:szCs w:val="28"/>
        </w:rPr>
        <w:t>周先</w:t>
      </w:r>
      <w:proofErr w:type="gramStart"/>
      <w:r w:rsidRPr="00C1264A">
        <w:rPr>
          <w:rFonts w:eastAsia="標楷體" w:hAnsi="標楷體"/>
          <w:sz w:val="28"/>
          <w:szCs w:val="28"/>
        </w:rPr>
        <w:t>施入畦面</w:t>
      </w:r>
      <w:proofErr w:type="gramEnd"/>
      <w:r w:rsidRPr="00C1264A">
        <w:rPr>
          <w:rFonts w:eastAsia="標楷體" w:hAnsi="標楷體"/>
          <w:sz w:val="28"/>
          <w:szCs w:val="28"/>
        </w:rPr>
        <w:t>上。</w:t>
      </w:r>
    </w:p>
    <w:p w:rsidR="00303EF2" w:rsidRPr="00C1264A" w:rsidRDefault="00303EF2" w:rsidP="00303EF2">
      <w:pPr>
        <w:spacing w:beforeLines="15" w:afterLines="15" w:line="460" w:lineRule="exact"/>
        <w:ind w:leftChars="75" w:left="180"/>
        <w:rPr>
          <w:rFonts w:eastAsia="標楷體"/>
          <w:sz w:val="28"/>
          <w:szCs w:val="28"/>
        </w:rPr>
      </w:pPr>
      <w:r w:rsidRPr="00C1264A">
        <w:rPr>
          <w:rFonts w:eastAsia="標楷體"/>
          <w:sz w:val="28"/>
          <w:szCs w:val="28"/>
        </w:rPr>
        <w:t>(</w:t>
      </w:r>
      <w:r w:rsidRPr="00C1264A">
        <w:rPr>
          <w:rFonts w:eastAsia="標楷體" w:hAnsi="標楷體"/>
          <w:sz w:val="28"/>
          <w:szCs w:val="28"/>
        </w:rPr>
        <w:t>四</w:t>
      </w:r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土壤磷鉀肥的配置</w:t>
      </w:r>
    </w:p>
    <w:p w:rsidR="00303EF2" w:rsidRPr="00C1264A" w:rsidRDefault="00303EF2" w:rsidP="00303EF2">
      <w:pPr>
        <w:spacing w:beforeLines="15" w:afterLines="15" w:line="460" w:lineRule="exact"/>
        <w:ind w:leftChars="75" w:left="180"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將全量的磷肥</w:t>
      </w:r>
      <w:r w:rsidRPr="00C1264A">
        <w:rPr>
          <w:rFonts w:eastAsia="標楷體"/>
          <w:sz w:val="28"/>
          <w:szCs w:val="28"/>
        </w:rPr>
        <w:t>(</w:t>
      </w:r>
      <w:r w:rsidRPr="00C1264A">
        <w:rPr>
          <w:rFonts w:eastAsia="標楷體" w:hAnsi="標楷體"/>
          <w:sz w:val="28"/>
          <w:szCs w:val="28"/>
        </w:rPr>
        <w:t>過磷酸鈣</w:t>
      </w:r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及</w:t>
      </w:r>
      <w:r w:rsidRPr="00C1264A">
        <w:rPr>
          <w:rFonts w:eastAsia="標楷體"/>
          <w:sz w:val="28"/>
          <w:szCs w:val="28"/>
        </w:rPr>
        <w:t>30~50%</w:t>
      </w:r>
      <w:r w:rsidRPr="00C1264A">
        <w:rPr>
          <w:rFonts w:eastAsia="標楷體" w:hAnsi="標楷體"/>
          <w:sz w:val="28"/>
          <w:szCs w:val="28"/>
        </w:rPr>
        <w:t>的鉀肥</w:t>
      </w:r>
      <w:r w:rsidRPr="00C1264A">
        <w:rPr>
          <w:rFonts w:eastAsia="標楷體"/>
          <w:sz w:val="28"/>
          <w:szCs w:val="28"/>
        </w:rPr>
        <w:t>(</w:t>
      </w:r>
      <w:r w:rsidRPr="00C1264A">
        <w:rPr>
          <w:rFonts w:eastAsia="標楷體" w:hAnsi="標楷體"/>
          <w:sz w:val="28"/>
          <w:szCs w:val="28"/>
        </w:rPr>
        <w:t>氯化鉀</w:t>
      </w:r>
      <w:r w:rsidRPr="00C1264A">
        <w:rPr>
          <w:rFonts w:eastAsia="標楷體"/>
          <w:sz w:val="28"/>
          <w:szCs w:val="28"/>
        </w:rPr>
        <w:t>)</w:t>
      </w:r>
      <w:r w:rsidRPr="00C1264A">
        <w:rPr>
          <w:rFonts w:eastAsia="標楷體" w:hAnsi="標楷體"/>
          <w:sz w:val="28"/>
          <w:szCs w:val="28"/>
        </w:rPr>
        <w:t>與有機質肥料</w:t>
      </w:r>
      <w:proofErr w:type="gramStart"/>
      <w:r w:rsidRPr="00C1264A">
        <w:rPr>
          <w:rFonts w:eastAsia="標楷體" w:hAnsi="標楷體"/>
          <w:sz w:val="28"/>
          <w:szCs w:val="28"/>
        </w:rPr>
        <w:t>一併混施掩埋</w:t>
      </w:r>
      <w:proofErr w:type="gramEnd"/>
      <w:r w:rsidRPr="00C1264A">
        <w:rPr>
          <w:rFonts w:eastAsia="標楷體" w:hAnsi="標楷體"/>
          <w:sz w:val="28"/>
          <w:szCs w:val="28"/>
        </w:rPr>
        <w:t>入土，以維持磷鉀肥的有效性，減少被土壤固定的情況發生。</w:t>
      </w:r>
      <w:proofErr w:type="gramStart"/>
      <w:r w:rsidRPr="00C1264A">
        <w:rPr>
          <w:rFonts w:eastAsia="標楷體" w:hAnsi="標楷體"/>
          <w:sz w:val="28"/>
          <w:szCs w:val="28"/>
        </w:rPr>
        <w:t>此外，</w:t>
      </w:r>
      <w:proofErr w:type="gramEnd"/>
      <w:r w:rsidRPr="00C1264A">
        <w:rPr>
          <w:rFonts w:eastAsia="標楷體" w:hAnsi="標楷體"/>
          <w:sz w:val="28"/>
          <w:szCs w:val="28"/>
        </w:rPr>
        <w:t>當果園土壤之鉀肥含量較低及</w:t>
      </w:r>
      <w:r w:rsidRPr="00C1264A">
        <w:rPr>
          <w:rFonts w:eastAsia="標楷體"/>
          <w:sz w:val="28"/>
          <w:szCs w:val="28"/>
        </w:rPr>
        <w:t>pH</w:t>
      </w:r>
      <w:r w:rsidRPr="00C1264A">
        <w:rPr>
          <w:rFonts w:eastAsia="標楷體" w:hAnsi="標楷體"/>
          <w:sz w:val="28"/>
          <w:szCs w:val="28"/>
        </w:rPr>
        <w:t>值在</w:t>
      </w:r>
      <w:r w:rsidRPr="00C1264A">
        <w:rPr>
          <w:rFonts w:eastAsia="標楷體"/>
          <w:sz w:val="28"/>
          <w:szCs w:val="28"/>
        </w:rPr>
        <w:t>7.5</w:t>
      </w:r>
      <w:r w:rsidRPr="00C1264A">
        <w:rPr>
          <w:rFonts w:eastAsia="標楷體" w:hAnsi="標楷體"/>
          <w:sz w:val="28"/>
          <w:szCs w:val="28"/>
        </w:rPr>
        <w:t>以上時，則建議施用較高量的鉀肥或含高鉀的有機肥，以維持土壤鉀肥的不虞匱乏。</w:t>
      </w:r>
    </w:p>
    <w:p w:rsidR="00303EF2" w:rsidRPr="00C1264A" w:rsidRDefault="00303EF2" w:rsidP="00303EF2">
      <w:pPr>
        <w:spacing w:beforeLines="15" w:afterLines="15" w:line="460" w:lineRule="exact"/>
        <w:ind w:leftChars="75" w:left="180"/>
        <w:rPr>
          <w:rFonts w:eastAsia="標楷體"/>
          <w:sz w:val="28"/>
          <w:szCs w:val="28"/>
        </w:rPr>
      </w:pPr>
      <w:r w:rsidRPr="00C1264A">
        <w:rPr>
          <w:rFonts w:eastAsia="標楷體"/>
          <w:sz w:val="28"/>
          <w:szCs w:val="28"/>
        </w:rPr>
        <w:t>(</w:t>
      </w:r>
      <w:r w:rsidRPr="00C1264A">
        <w:rPr>
          <w:rFonts w:eastAsia="標楷體" w:hAnsi="標楷體"/>
          <w:sz w:val="28"/>
          <w:szCs w:val="28"/>
        </w:rPr>
        <w:t>五</w:t>
      </w:r>
      <w:r w:rsidRPr="00C1264A">
        <w:rPr>
          <w:rFonts w:eastAsia="標楷體"/>
          <w:sz w:val="28"/>
          <w:szCs w:val="28"/>
        </w:rPr>
        <w:t>)</w:t>
      </w:r>
      <w:proofErr w:type="gramStart"/>
      <w:r w:rsidRPr="00C1264A">
        <w:rPr>
          <w:rFonts w:eastAsia="標楷體" w:hAnsi="標楷體"/>
          <w:sz w:val="28"/>
          <w:szCs w:val="28"/>
        </w:rPr>
        <w:t>中耕掩施確保</w:t>
      </w:r>
      <w:proofErr w:type="gramEnd"/>
      <w:r w:rsidRPr="00C1264A">
        <w:rPr>
          <w:rFonts w:eastAsia="標楷體" w:hAnsi="標楷體"/>
          <w:sz w:val="28"/>
          <w:szCs w:val="28"/>
        </w:rPr>
        <w:t>肥效</w:t>
      </w:r>
    </w:p>
    <w:p w:rsidR="00303EF2" w:rsidRPr="00C1264A" w:rsidRDefault="00303EF2" w:rsidP="00303EF2">
      <w:pPr>
        <w:spacing w:beforeLines="15" w:afterLines="15" w:line="460" w:lineRule="exact"/>
        <w:ind w:leftChars="75" w:left="180"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基肥施用應配合中耕管理將</w:t>
      </w:r>
      <w:proofErr w:type="gramStart"/>
      <w:r w:rsidRPr="00C1264A">
        <w:rPr>
          <w:rFonts w:eastAsia="標楷體" w:hAnsi="標楷體"/>
          <w:sz w:val="28"/>
          <w:szCs w:val="28"/>
        </w:rPr>
        <w:t>基肥掩施入土</w:t>
      </w:r>
      <w:proofErr w:type="gramEnd"/>
      <w:r w:rsidRPr="00C1264A">
        <w:rPr>
          <w:rFonts w:eastAsia="標楷體" w:hAnsi="標楷體"/>
          <w:sz w:val="28"/>
          <w:szCs w:val="28"/>
        </w:rPr>
        <w:t>，如此不僅可</w:t>
      </w:r>
      <w:proofErr w:type="gramStart"/>
      <w:r w:rsidRPr="00C1264A">
        <w:rPr>
          <w:rFonts w:eastAsia="標楷體" w:hAnsi="標楷體"/>
          <w:sz w:val="28"/>
          <w:szCs w:val="28"/>
        </w:rPr>
        <w:t>保持其肥效</w:t>
      </w:r>
      <w:proofErr w:type="gramEnd"/>
      <w:r w:rsidRPr="00C1264A">
        <w:rPr>
          <w:rFonts w:eastAsia="標楷體" w:hAnsi="標楷體"/>
          <w:sz w:val="28"/>
          <w:szCs w:val="28"/>
        </w:rPr>
        <w:t>，更能促進新根系的生成，將有利果樹植株對土壤養分的吸收能力，</w:t>
      </w:r>
      <w:proofErr w:type="gramStart"/>
      <w:r w:rsidRPr="00C1264A">
        <w:rPr>
          <w:rFonts w:eastAsia="標楷體" w:hAnsi="標楷體"/>
          <w:sz w:val="28"/>
          <w:szCs w:val="28"/>
        </w:rPr>
        <w:t>尤其是鈣肥的</w:t>
      </w:r>
      <w:proofErr w:type="gramEnd"/>
      <w:r w:rsidRPr="00C1264A">
        <w:rPr>
          <w:rFonts w:eastAsia="標楷體" w:hAnsi="標楷體"/>
          <w:sz w:val="28"/>
          <w:szCs w:val="28"/>
        </w:rPr>
        <w:t>吸收效率。</w:t>
      </w:r>
    </w:p>
    <w:p w:rsidR="00303EF2" w:rsidRPr="00C1264A" w:rsidRDefault="00303EF2" w:rsidP="00303EF2">
      <w:pPr>
        <w:spacing w:beforeLines="15" w:afterLines="15" w:line="460" w:lineRule="exact"/>
        <w:rPr>
          <w:rFonts w:eastAsia="標楷體"/>
          <w:sz w:val="28"/>
          <w:szCs w:val="28"/>
        </w:rPr>
      </w:pPr>
    </w:p>
    <w:p w:rsidR="00303EF2" w:rsidRPr="00C1264A" w:rsidRDefault="00303EF2" w:rsidP="00303EF2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C1264A">
        <w:rPr>
          <w:rFonts w:eastAsia="標楷體" w:hAnsi="標楷體"/>
          <w:b/>
          <w:sz w:val="32"/>
          <w:szCs w:val="32"/>
        </w:rPr>
        <w:t>結</w:t>
      </w:r>
      <w:r w:rsidRPr="00C1264A">
        <w:rPr>
          <w:rFonts w:eastAsia="標楷體"/>
          <w:b/>
          <w:sz w:val="32"/>
          <w:szCs w:val="32"/>
        </w:rPr>
        <w:t xml:space="preserve">  </w:t>
      </w:r>
      <w:r w:rsidRPr="00C1264A">
        <w:rPr>
          <w:rFonts w:eastAsia="標楷體" w:hAnsi="標楷體"/>
          <w:b/>
          <w:sz w:val="32"/>
          <w:szCs w:val="32"/>
        </w:rPr>
        <w:t>語</w:t>
      </w:r>
    </w:p>
    <w:p w:rsidR="00303EF2" w:rsidRPr="00C1264A" w:rsidRDefault="00303EF2" w:rsidP="00303EF2">
      <w:pPr>
        <w:spacing w:beforeLines="15" w:afterLines="15" w:line="460" w:lineRule="exact"/>
        <w:ind w:firstLineChars="192" w:firstLine="538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由本文列舉的三種果樹各有其不同的基肥施用技術可窺知，果樹的栽培首重地力及樹勢的維持，能依其生理習性調控基肥的正確施用，方能穩定提升果實的質與量。</w:t>
      </w:r>
    </w:p>
    <w:p w:rsidR="00303EF2" w:rsidRPr="00C1264A" w:rsidRDefault="00303EF2" w:rsidP="00303EF2">
      <w:pPr>
        <w:spacing w:beforeLines="15" w:afterLines="15" w:line="460" w:lineRule="exact"/>
        <w:rPr>
          <w:rFonts w:eastAsia="標楷體"/>
          <w:sz w:val="28"/>
          <w:szCs w:val="28"/>
        </w:rPr>
      </w:pPr>
      <w:r w:rsidRPr="00C1264A">
        <w:rPr>
          <w:rFonts w:eastAsia="標楷體"/>
          <w:sz w:val="28"/>
          <w:szCs w:val="28"/>
        </w:rPr>
        <w:t xml:space="preserve">     </w:t>
      </w:r>
    </w:p>
    <w:p w:rsidR="00303EF2" w:rsidRPr="00C1264A" w:rsidRDefault="00303EF2" w:rsidP="00303EF2">
      <w:pPr>
        <w:spacing w:beforeLines="15" w:afterLines="15" w:line="460" w:lineRule="exact"/>
        <w:jc w:val="center"/>
        <w:rPr>
          <w:rFonts w:eastAsia="標楷體"/>
          <w:b/>
          <w:sz w:val="32"/>
          <w:szCs w:val="32"/>
        </w:rPr>
      </w:pPr>
      <w:r w:rsidRPr="00C1264A">
        <w:rPr>
          <w:rFonts w:eastAsia="標楷體" w:hAnsi="標楷體"/>
          <w:b/>
          <w:sz w:val="32"/>
          <w:szCs w:val="32"/>
        </w:rPr>
        <w:t>參考文獻</w:t>
      </w:r>
    </w:p>
    <w:p w:rsidR="00303EF2" w:rsidRPr="00C1264A" w:rsidRDefault="00303EF2" w:rsidP="00303EF2">
      <w:pPr>
        <w:spacing w:beforeLines="15" w:afterLines="15" w:line="460" w:lineRule="exact"/>
        <w:ind w:left="179" w:hangingChars="64" w:hanging="179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林嘉興、張林仁、劉添丁</w:t>
      </w:r>
      <w:r w:rsidRPr="00C1264A">
        <w:rPr>
          <w:rFonts w:eastAsia="標楷體"/>
          <w:sz w:val="28"/>
          <w:szCs w:val="28"/>
        </w:rPr>
        <w:t xml:space="preserve"> 1994 </w:t>
      </w:r>
      <w:r w:rsidRPr="00C1264A">
        <w:rPr>
          <w:rFonts w:eastAsia="標楷體" w:hAnsi="標楷體"/>
          <w:sz w:val="28"/>
          <w:szCs w:val="28"/>
        </w:rPr>
        <w:t>枇杷栽培</w:t>
      </w:r>
      <w:r w:rsidRPr="00C1264A">
        <w:rPr>
          <w:rFonts w:eastAsia="標楷體"/>
          <w:sz w:val="28"/>
          <w:szCs w:val="28"/>
        </w:rPr>
        <w:t xml:space="preserve"> </w:t>
      </w:r>
      <w:r w:rsidRPr="00C1264A">
        <w:rPr>
          <w:rFonts w:eastAsia="標楷體" w:hAnsi="標楷體"/>
          <w:sz w:val="28"/>
          <w:szCs w:val="28"/>
        </w:rPr>
        <w:t>農民淺說</w:t>
      </w:r>
      <w:r w:rsidRPr="00C1264A">
        <w:rPr>
          <w:rFonts w:eastAsia="標楷體"/>
          <w:sz w:val="28"/>
          <w:szCs w:val="28"/>
        </w:rPr>
        <w:t>486-</w:t>
      </w:r>
      <w:r w:rsidRPr="00C1264A">
        <w:rPr>
          <w:rFonts w:eastAsia="標楷體" w:hAnsi="標楷體"/>
          <w:sz w:val="28"/>
          <w:szCs w:val="28"/>
        </w:rPr>
        <w:t>園藝</w:t>
      </w:r>
      <w:r w:rsidRPr="00C1264A">
        <w:rPr>
          <w:rFonts w:eastAsia="標楷體"/>
          <w:sz w:val="28"/>
          <w:szCs w:val="28"/>
        </w:rPr>
        <w:t>26</w:t>
      </w:r>
      <w:r w:rsidRPr="00C1264A">
        <w:rPr>
          <w:rFonts w:eastAsia="標楷體" w:hAnsi="標楷體"/>
          <w:sz w:val="28"/>
          <w:szCs w:val="28"/>
        </w:rPr>
        <w:t>。</w:t>
      </w:r>
    </w:p>
    <w:p w:rsidR="00303EF2" w:rsidRPr="00C1264A" w:rsidRDefault="00303EF2" w:rsidP="00303EF2">
      <w:pPr>
        <w:spacing w:beforeLines="15" w:afterLines="15" w:line="460" w:lineRule="exact"/>
        <w:ind w:left="179" w:hangingChars="64" w:hanging="179"/>
        <w:rPr>
          <w:rFonts w:eastAsia="標楷體"/>
          <w:sz w:val="28"/>
          <w:szCs w:val="28"/>
        </w:rPr>
      </w:pPr>
      <w:proofErr w:type="gramStart"/>
      <w:r w:rsidRPr="00C1264A">
        <w:rPr>
          <w:rFonts w:eastAsia="標楷體" w:hAnsi="標楷體"/>
          <w:sz w:val="28"/>
          <w:szCs w:val="28"/>
        </w:rPr>
        <w:t>范</w:t>
      </w:r>
      <w:proofErr w:type="gramEnd"/>
      <w:r w:rsidRPr="00C1264A">
        <w:rPr>
          <w:rFonts w:eastAsia="標楷體" w:hAnsi="標楷體"/>
          <w:sz w:val="28"/>
          <w:szCs w:val="28"/>
        </w:rPr>
        <w:t>念慈</w:t>
      </w:r>
      <w:r w:rsidRPr="00C1264A">
        <w:rPr>
          <w:rFonts w:eastAsia="標楷體"/>
          <w:sz w:val="28"/>
          <w:szCs w:val="28"/>
        </w:rPr>
        <w:t xml:space="preserve"> 1984 </w:t>
      </w:r>
      <w:r w:rsidRPr="00C1264A">
        <w:rPr>
          <w:rFonts w:eastAsia="標楷體" w:hAnsi="標楷體"/>
          <w:sz w:val="28"/>
          <w:szCs w:val="28"/>
        </w:rPr>
        <w:t>枇杷栽培</w:t>
      </w:r>
      <w:r w:rsidRPr="00C1264A">
        <w:rPr>
          <w:rFonts w:eastAsia="標楷體"/>
          <w:sz w:val="28"/>
          <w:szCs w:val="28"/>
        </w:rPr>
        <w:t xml:space="preserve"> </w:t>
      </w:r>
      <w:r w:rsidRPr="00C1264A">
        <w:rPr>
          <w:rFonts w:eastAsia="標楷體" w:hAnsi="標楷體"/>
          <w:sz w:val="28"/>
          <w:szCs w:val="28"/>
        </w:rPr>
        <w:t>農民淺說</w:t>
      </w:r>
      <w:smartTag w:uri="urn:schemas-microsoft-com:office:smarttags" w:element="chmetcnv">
        <w:smartTagPr>
          <w:attr w:name="UnitName" w:val="a"/>
          <w:attr w:name="SourceValue" w:val="268"/>
          <w:attr w:name="HasSpace" w:val="False"/>
          <w:attr w:name="Negative" w:val="False"/>
          <w:attr w:name="NumberType" w:val="1"/>
          <w:attr w:name="TCSC" w:val="0"/>
        </w:smartTagPr>
        <w:r w:rsidRPr="00C1264A">
          <w:rPr>
            <w:rFonts w:eastAsia="標楷體"/>
            <w:sz w:val="28"/>
            <w:szCs w:val="28"/>
          </w:rPr>
          <w:t>268A</w:t>
        </w:r>
      </w:smartTag>
      <w:r w:rsidRPr="00C1264A">
        <w:rPr>
          <w:rFonts w:eastAsia="標楷體"/>
          <w:sz w:val="28"/>
          <w:szCs w:val="28"/>
        </w:rPr>
        <w:t>-</w:t>
      </w:r>
      <w:r w:rsidRPr="00C1264A">
        <w:rPr>
          <w:rFonts w:eastAsia="標楷體" w:hAnsi="標楷體"/>
          <w:sz w:val="28"/>
          <w:szCs w:val="28"/>
        </w:rPr>
        <w:t>園藝</w:t>
      </w:r>
      <w:r w:rsidRPr="00C1264A">
        <w:rPr>
          <w:rFonts w:eastAsia="標楷體"/>
          <w:sz w:val="28"/>
          <w:szCs w:val="28"/>
        </w:rPr>
        <w:t>53</w:t>
      </w:r>
      <w:r w:rsidRPr="00C1264A">
        <w:rPr>
          <w:rFonts w:eastAsia="標楷體" w:hAnsi="標楷體"/>
          <w:sz w:val="28"/>
          <w:szCs w:val="28"/>
        </w:rPr>
        <w:t>。</w:t>
      </w:r>
    </w:p>
    <w:p w:rsidR="00303EF2" w:rsidRPr="00C1264A" w:rsidRDefault="00303EF2" w:rsidP="00303EF2">
      <w:pPr>
        <w:spacing w:beforeLines="15" w:afterLines="15" w:line="460" w:lineRule="exact"/>
        <w:ind w:left="179" w:hangingChars="64" w:hanging="179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lastRenderedPageBreak/>
        <w:t>邱禮弘</w:t>
      </w:r>
      <w:r w:rsidRPr="00C1264A">
        <w:rPr>
          <w:rFonts w:eastAsia="標楷體"/>
          <w:sz w:val="28"/>
          <w:szCs w:val="28"/>
        </w:rPr>
        <w:t xml:space="preserve"> 2007 </w:t>
      </w:r>
      <w:r w:rsidRPr="00C1264A">
        <w:rPr>
          <w:rFonts w:eastAsia="標楷體" w:hAnsi="標楷體"/>
          <w:sz w:val="28"/>
          <w:szCs w:val="28"/>
        </w:rPr>
        <w:t>葡萄園土壤</w:t>
      </w:r>
      <w:proofErr w:type="gramStart"/>
      <w:r w:rsidRPr="00C1264A">
        <w:rPr>
          <w:rFonts w:eastAsia="標楷體" w:hAnsi="標楷體"/>
          <w:sz w:val="28"/>
          <w:szCs w:val="28"/>
        </w:rPr>
        <w:t>及肥培管理</w:t>
      </w:r>
      <w:proofErr w:type="gramEnd"/>
      <w:r w:rsidRPr="00C1264A">
        <w:rPr>
          <w:rFonts w:eastAsia="標楷體" w:hAnsi="標楷體"/>
          <w:sz w:val="28"/>
          <w:szCs w:val="28"/>
        </w:rPr>
        <w:t>技術</w:t>
      </w:r>
      <w:r w:rsidRPr="00C1264A">
        <w:rPr>
          <w:rFonts w:eastAsia="標楷體"/>
          <w:sz w:val="28"/>
          <w:szCs w:val="28"/>
        </w:rPr>
        <w:t xml:space="preserve"> </w:t>
      </w:r>
      <w:r w:rsidRPr="00C1264A">
        <w:rPr>
          <w:rFonts w:eastAsia="標楷體" w:hAnsi="標楷體"/>
          <w:sz w:val="28"/>
          <w:szCs w:val="28"/>
        </w:rPr>
        <w:t>台中區農業專訊</w:t>
      </w:r>
      <w:r w:rsidRPr="00C1264A">
        <w:rPr>
          <w:rFonts w:eastAsia="標楷體"/>
          <w:sz w:val="28"/>
          <w:szCs w:val="28"/>
        </w:rPr>
        <w:t>68</w:t>
      </w:r>
      <w:r w:rsidRPr="00C1264A">
        <w:rPr>
          <w:rFonts w:eastAsia="標楷體" w:hAnsi="標楷體"/>
          <w:sz w:val="28"/>
          <w:szCs w:val="28"/>
        </w:rPr>
        <w:t>：</w:t>
      </w:r>
      <w:r w:rsidRPr="00C1264A">
        <w:rPr>
          <w:rFonts w:eastAsia="標楷體"/>
          <w:sz w:val="28"/>
          <w:szCs w:val="28"/>
        </w:rPr>
        <w:t>4-7</w:t>
      </w:r>
      <w:r w:rsidRPr="00C1264A">
        <w:rPr>
          <w:rFonts w:eastAsia="標楷體" w:hAnsi="標楷體"/>
          <w:sz w:val="28"/>
          <w:szCs w:val="28"/>
        </w:rPr>
        <w:t>。</w:t>
      </w:r>
    </w:p>
    <w:p w:rsidR="00303EF2" w:rsidRPr="00C1264A" w:rsidRDefault="00303EF2" w:rsidP="00303EF2">
      <w:pPr>
        <w:spacing w:beforeLines="15" w:afterLines="15" w:line="460" w:lineRule="exact"/>
        <w:ind w:left="179" w:hangingChars="64" w:hanging="179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邱禮弘</w:t>
      </w:r>
      <w:r w:rsidRPr="00C1264A">
        <w:rPr>
          <w:rFonts w:eastAsia="標楷體"/>
          <w:sz w:val="28"/>
          <w:szCs w:val="28"/>
        </w:rPr>
        <w:t xml:space="preserve"> 2008 </w:t>
      </w:r>
      <w:r w:rsidRPr="00C1264A">
        <w:rPr>
          <w:rFonts w:eastAsia="標楷體" w:hAnsi="標楷體"/>
          <w:sz w:val="28"/>
          <w:szCs w:val="28"/>
        </w:rPr>
        <w:t>紅龍果合理化施肥技術</w:t>
      </w:r>
      <w:r w:rsidRPr="00C1264A">
        <w:rPr>
          <w:rFonts w:eastAsia="標楷體"/>
          <w:sz w:val="28"/>
          <w:szCs w:val="28"/>
        </w:rPr>
        <w:t xml:space="preserve"> </w:t>
      </w:r>
      <w:r w:rsidRPr="00C1264A">
        <w:rPr>
          <w:rFonts w:eastAsia="標楷體" w:hAnsi="標楷體"/>
          <w:sz w:val="28"/>
          <w:szCs w:val="28"/>
        </w:rPr>
        <w:t>豐年社</w:t>
      </w:r>
      <w:r w:rsidRPr="00C1264A">
        <w:rPr>
          <w:rFonts w:eastAsia="標楷體"/>
          <w:sz w:val="28"/>
          <w:szCs w:val="28"/>
        </w:rPr>
        <w:t>58(23)</w:t>
      </w:r>
      <w:r w:rsidRPr="00C1264A">
        <w:rPr>
          <w:rFonts w:eastAsia="標楷體" w:hAnsi="標楷體"/>
          <w:sz w:val="28"/>
          <w:szCs w:val="28"/>
        </w:rPr>
        <w:t>：</w:t>
      </w:r>
      <w:r w:rsidRPr="00C1264A">
        <w:rPr>
          <w:rFonts w:eastAsia="標楷體"/>
          <w:sz w:val="28"/>
          <w:szCs w:val="28"/>
        </w:rPr>
        <w:t>43-44</w:t>
      </w:r>
      <w:r w:rsidRPr="00C1264A">
        <w:rPr>
          <w:rFonts w:eastAsia="標楷體" w:hAnsi="標楷體"/>
          <w:sz w:val="28"/>
          <w:szCs w:val="28"/>
        </w:rPr>
        <w:t>。</w:t>
      </w:r>
    </w:p>
    <w:p w:rsidR="00303EF2" w:rsidRPr="00C1264A" w:rsidRDefault="00303EF2" w:rsidP="00303EF2">
      <w:pPr>
        <w:spacing w:beforeLines="15" w:afterLines="15" w:line="460" w:lineRule="exact"/>
        <w:ind w:left="179" w:hangingChars="64" w:hanging="179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邱禮弘</w:t>
      </w:r>
      <w:r w:rsidRPr="00C1264A">
        <w:rPr>
          <w:rFonts w:eastAsia="標楷體"/>
          <w:sz w:val="28"/>
          <w:szCs w:val="28"/>
        </w:rPr>
        <w:t xml:space="preserve"> 2010 </w:t>
      </w:r>
      <w:proofErr w:type="gramStart"/>
      <w:r w:rsidRPr="00C1264A">
        <w:rPr>
          <w:rFonts w:eastAsia="標楷體" w:hAnsi="標楷體"/>
          <w:sz w:val="28"/>
          <w:szCs w:val="28"/>
        </w:rPr>
        <w:t>茂木枇杷</w:t>
      </w:r>
      <w:proofErr w:type="gramEnd"/>
      <w:r w:rsidRPr="00C1264A">
        <w:rPr>
          <w:rFonts w:eastAsia="標楷體" w:hAnsi="標楷體"/>
          <w:sz w:val="28"/>
          <w:szCs w:val="28"/>
        </w:rPr>
        <w:t>合理化施肥</w:t>
      </w:r>
      <w:r w:rsidRPr="00C1264A">
        <w:rPr>
          <w:rFonts w:eastAsia="標楷體"/>
          <w:sz w:val="28"/>
          <w:szCs w:val="28"/>
        </w:rPr>
        <w:t xml:space="preserve"> </w:t>
      </w:r>
      <w:r w:rsidRPr="00C1264A">
        <w:rPr>
          <w:rFonts w:eastAsia="標楷體" w:hAnsi="標楷體"/>
          <w:sz w:val="28"/>
          <w:szCs w:val="28"/>
        </w:rPr>
        <w:t>豐年社</w:t>
      </w:r>
      <w:r w:rsidRPr="00C1264A">
        <w:rPr>
          <w:rFonts w:eastAsia="標楷體"/>
          <w:sz w:val="28"/>
          <w:szCs w:val="28"/>
        </w:rPr>
        <w:t>60(4)</w:t>
      </w:r>
      <w:r w:rsidRPr="00C1264A">
        <w:rPr>
          <w:rFonts w:eastAsia="標楷體" w:hAnsi="標楷體"/>
          <w:sz w:val="28"/>
          <w:szCs w:val="28"/>
        </w:rPr>
        <w:t>：</w:t>
      </w:r>
      <w:r w:rsidRPr="00C1264A">
        <w:rPr>
          <w:rFonts w:eastAsia="標楷體"/>
          <w:sz w:val="28"/>
          <w:szCs w:val="28"/>
        </w:rPr>
        <w:t>28-30</w:t>
      </w:r>
      <w:r w:rsidRPr="00C1264A">
        <w:rPr>
          <w:rFonts w:eastAsia="標楷體" w:hAnsi="標楷體"/>
          <w:sz w:val="28"/>
          <w:szCs w:val="28"/>
        </w:rPr>
        <w:t>。</w:t>
      </w:r>
    </w:p>
    <w:p w:rsidR="00303EF2" w:rsidRPr="00C1264A" w:rsidRDefault="00303EF2" w:rsidP="00303EF2">
      <w:pPr>
        <w:spacing w:beforeLines="15" w:afterLines="15" w:line="460" w:lineRule="exact"/>
        <w:ind w:left="179" w:hangingChars="64" w:hanging="179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邱禮弘、張致盛</w:t>
      </w:r>
      <w:r w:rsidRPr="00C1264A">
        <w:rPr>
          <w:rFonts w:eastAsia="標楷體"/>
          <w:sz w:val="28"/>
          <w:szCs w:val="28"/>
        </w:rPr>
        <w:t xml:space="preserve"> 2010 </w:t>
      </w:r>
      <w:r w:rsidRPr="00C1264A">
        <w:rPr>
          <w:rFonts w:eastAsia="標楷體" w:hAnsi="標楷體"/>
          <w:sz w:val="28"/>
          <w:szCs w:val="28"/>
        </w:rPr>
        <w:t>巨峰葡萄合理化施肥技術</w:t>
      </w:r>
      <w:r w:rsidRPr="00C1264A">
        <w:rPr>
          <w:rFonts w:eastAsia="標楷體"/>
          <w:sz w:val="28"/>
          <w:szCs w:val="28"/>
        </w:rPr>
        <w:t xml:space="preserve"> </w:t>
      </w:r>
      <w:r w:rsidRPr="00C1264A">
        <w:rPr>
          <w:rFonts w:eastAsia="標楷體" w:hAnsi="標楷體"/>
          <w:sz w:val="28"/>
          <w:szCs w:val="28"/>
        </w:rPr>
        <w:t>豐年社</w:t>
      </w:r>
      <w:r w:rsidRPr="00C1264A">
        <w:rPr>
          <w:rFonts w:eastAsia="標楷體"/>
          <w:sz w:val="28"/>
          <w:szCs w:val="28"/>
        </w:rPr>
        <w:t>60(15)</w:t>
      </w:r>
      <w:r w:rsidRPr="00C1264A">
        <w:rPr>
          <w:rFonts w:eastAsia="標楷體" w:hAnsi="標楷體"/>
          <w:sz w:val="28"/>
          <w:szCs w:val="28"/>
        </w:rPr>
        <w:t>：</w:t>
      </w:r>
      <w:r w:rsidRPr="00C1264A">
        <w:rPr>
          <w:rFonts w:eastAsia="標楷體"/>
          <w:sz w:val="28"/>
          <w:szCs w:val="28"/>
        </w:rPr>
        <w:t>33-36</w:t>
      </w:r>
      <w:r w:rsidRPr="00C1264A">
        <w:rPr>
          <w:rFonts w:eastAsia="標楷體" w:hAnsi="標楷體"/>
          <w:sz w:val="28"/>
          <w:szCs w:val="28"/>
        </w:rPr>
        <w:t>。</w:t>
      </w:r>
    </w:p>
    <w:p w:rsidR="00303EF2" w:rsidRPr="00C1264A" w:rsidRDefault="00303EF2" w:rsidP="00303EF2">
      <w:pPr>
        <w:spacing w:beforeLines="15" w:afterLines="15" w:line="460" w:lineRule="exact"/>
        <w:ind w:left="179" w:hangingChars="64" w:hanging="179"/>
        <w:rPr>
          <w:rFonts w:eastAsia="標楷體"/>
          <w:sz w:val="28"/>
          <w:szCs w:val="28"/>
        </w:rPr>
      </w:pPr>
      <w:r w:rsidRPr="00C1264A">
        <w:rPr>
          <w:rFonts w:eastAsia="標楷體" w:hAnsi="標楷體"/>
          <w:sz w:val="28"/>
          <w:szCs w:val="28"/>
        </w:rPr>
        <w:t>黃祥慶、蔡宜峯</w:t>
      </w:r>
      <w:r w:rsidRPr="00C1264A">
        <w:rPr>
          <w:rFonts w:eastAsia="標楷體"/>
          <w:sz w:val="28"/>
          <w:szCs w:val="28"/>
        </w:rPr>
        <w:t xml:space="preserve"> 1994 </w:t>
      </w:r>
      <w:r w:rsidRPr="00C1264A">
        <w:rPr>
          <w:rFonts w:eastAsia="標楷體" w:hAnsi="標楷體"/>
          <w:sz w:val="28"/>
          <w:szCs w:val="28"/>
        </w:rPr>
        <w:t>枇杷園之土壤管理</w:t>
      </w:r>
      <w:r w:rsidRPr="00C1264A">
        <w:rPr>
          <w:rFonts w:eastAsia="標楷體"/>
          <w:sz w:val="28"/>
          <w:szCs w:val="28"/>
        </w:rPr>
        <w:t xml:space="preserve"> </w:t>
      </w:r>
      <w:r w:rsidRPr="00C1264A">
        <w:rPr>
          <w:rFonts w:eastAsia="標楷體" w:hAnsi="標楷體"/>
          <w:sz w:val="28"/>
          <w:szCs w:val="28"/>
        </w:rPr>
        <w:t>枇杷生產技術研習會專集</w:t>
      </w:r>
      <w:r w:rsidRPr="00C1264A">
        <w:rPr>
          <w:rFonts w:eastAsia="標楷體"/>
          <w:sz w:val="28"/>
          <w:szCs w:val="28"/>
        </w:rPr>
        <w:t xml:space="preserve"> </w:t>
      </w:r>
      <w:r w:rsidRPr="00C1264A">
        <w:rPr>
          <w:rFonts w:eastAsia="標楷體" w:hAnsi="標楷體"/>
          <w:sz w:val="28"/>
          <w:szCs w:val="28"/>
        </w:rPr>
        <w:t>臺中區農業改良場特刊</w:t>
      </w:r>
      <w:r w:rsidRPr="00C1264A">
        <w:rPr>
          <w:rFonts w:eastAsia="標楷體"/>
          <w:sz w:val="28"/>
          <w:szCs w:val="28"/>
        </w:rPr>
        <w:t>34</w:t>
      </w:r>
      <w:r w:rsidRPr="00C1264A">
        <w:rPr>
          <w:rFonts w:eastAsia="標楷體" w:hAnsi="標楷體"/>
          <w:sz w:val="28"/>
          <w:szCs w:val="28"/>
        </w:rPr>
        <w:t>：</w:t>
      </w:r>
      <w:r w:rsidRPr="00C1264A">
        <w:rPr>
          <w:rFonts w:eastAsia="標楷體"/>
          <w:sz w:val="28"/>
          <w:szCs w:val="28"/>
        </w:rPr>
        <w:t>149-162</w:t>
      </w:r>
      <w:r w:rsidRPr="00C1264A">
        <w:rPr>
          <w:rFonts w:eastAsia="標楷體" w:hAnsi="標楷體"/>
          <w:sz w:val="28"/>
          <w:szCs w:val="28"/>
        </w:rPr>
        <w:t>。</w:t>
      </w:r>
    </w:p>
    <w:p w:rsidR="009F5543" w:rsidRPr="00303EF2" w:rsidRDefault="009F5543" w:rsidP="000D77E2"/>
    <w:sectPr w:rsidR="009F5543" w:rsidRPr="00303EF2" w:rsidSect="007B6B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22EF2"/>
    <w:multiLevelType w:val="hybridMultilevel"/>
    <w:tmpl w:val="76482656"/>
    <w:lvl w:ilvl="0" w:tplc="D0D06826">
      <w:start w:val="1"/>
      <w:numFmt w:val="taiwaneseCountingThousand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CAB6013"/>
    <w:multiLevelType w:val="hybridMultilevel"/>
    <w:tmpl w:val="3FCA9644"/>
    <w:lvl w:ilvl="0" w:tplc="A37C410E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4C36B9B"/>
    <w:multiLevelType w:val="hybridMultilevel"/>
    <w:tmpl w:val="83BC3AD0"/>
    <w:lvl w:ilvl="0" w:tplc="80D29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B2C3A9C"/>
    <w:multiLevelType w:val="hybridMultilevel"/>
    <w:tmpl w:val="FAEA8A30"/>
    <w:lvl w:ilvl="0" w:tplc="9912E6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BAF299F"/>
    <w:multiLevelType w:val="hybridMultilevel"/>
    <w:tmpl w:val="F81831A2"/>
    <w:lvl w:ilvl="0" w:tplc="9562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23A2"/>
    <w:rsid w:val="000270DB"/>
    <w:rsid w:val="00051676"/>
    <w:rsid w:val="0005529E"/>
    <w:rsid w:val="00057F63"/>
    <w:rsid w:val="000652FC"/>
    <w:rsid w:val="00076F68"/>
    <w:rsid w:val="000A006D"/>
    <w:rsid w:val="000B3B8D"/>
    <w:rsid w:val="000B4A01"/>
    <w:rsid w:val="000C0303"/>
    <w:rsid w:val="000C3285"/>
    <w:rsid w:val="000C4BBE"/>
    <w:rsid w:val="000C5388"/>
    <w:rsid w:val="000D77E2"/>
    <w:rsid w:val="000E2020"/>
    <w:rsid w:val="000E5684"/>
    <w:rsid w:val="001156B4"/>
    <w:rsid w:val="00115C58"/>
    <w:rsid w:val="00127152"/>
    <w:rsid w:val="00132AF0"/>
    <w:rsid w:val="00137F69"/>
    <w:rsid w:val="00180DEB"/>
    <w:rsid w:val="00183866"/>
    <w:rsid w:val="00193388"/>
    <w:rsid w:val="001A3401"/>
    <w:rsid w:val="001A3F5A"/>
    <w:rsid w:val="00246A1F"/>
    <w:rsid w:val="00261628"/>
    <w:rsid w:val="00265C11"/>
    <w:rsid w:val="00267593"/>
    <w:rsid w:val="00271C10"/>
    <w:rsid w:val="002771DA"/>
    <w:rsid w:val="002A42A4"/>
    <w:rsid w:val="002A50D9"/>
    <w:rsid w:val="002B56CE"/>
    <w:rsid w:val="002B5E00"/>
    <w:rsid w:val="002C2E2A"/>
    <w:rsid w:val="002D013E"/>
    <w:rsid w:val="002F200A"/>
    <w:rsid w:val="00302FB0"/>
    <w:rsid w:val="00303EF2"/>
    <w:rsid w:val="00314D75"/>
    <w:rsid w:val="003356DC"/>
    <w:rsid w:val="00351615"/>
    <w:rsid w:val="00352E6B"/>
    <w:rsid w:val="0036250F"/>
    <w:rsid w:val="00381A57"/>
    <w:rsid w:val="00382789"/>
    <w:rsid w:val="003A4AB4"/>
    <w:rsid w:val="003B0952"/>
    <w:rsid w:val="003B7AC3"/>
    <w:rsid w:val="003D6B4F"/>
    <w:rsid w:val="003F088A"/>
    <w:rsid w:val="00443010"/>
    <w:rsid w:val="00471405"/>
    <w:rsid w:val="00487B03"/>
    <w:rsid w:val="004A5B41"/>
    <w:rsid w:val="004A6144"/>
    <w:rsid w:val="004C0C41"/>
    <w:rsid w:val="004C69E9"/>
    <w:rsid w:val="004E1BAE"/>
    <w:rsid w:val="004E4E5E"/>
    <w:rsid w:val="004F1124"/>
    <w:rsid w:val="005203F2"/>
    <w:rsid w:val="0055090E"/>
    <w:rsid w:val="00557AE6"/>
    <w:rsid w:val="0056183F"/>
    <w:rsid w:val="005626E7"/>
    <w:rsid w:val="005823A2"/>
    <w:rsid w:val="00582E4E"/>
    <w:rsid w:val="00595A7E"/>
    <w:rsid w:val="005B1F67"/>
    <w:rsid w:val="005B5940"/>
    <w:rsid w:val="005C11C6"/>
    <w:rsid w:val="005D7976"/>
    <w:rsid w:val="00600E62"/>
    <w:rsid w:val="00626B72"/>
    <w:rsid w:val="006518BF"/>
    <w:rsid w:val="00654DF1"/>
    <w:rsid w:val="00654F61"/>
    <w:rsid w:val="00666143"/>
    <w:rsid w:val="00680A9A"/>
    <w:rsid w:val="00695520"/>
    <w:rsid w:val="006E3825"/>
    <w:rsid w:val="006E40E5"/>
    <w:rsid w:val="00713BAD"/>
    <w:rsid w:val="00721CAB"/>
    <w:rsid w:val="00732B5F"/>
    <w:rsid w:val="007506D9"/>
    <w:rsid w:val="00750E4A"/>
    <w:rsid w:val="00780B07"/>
    <w:rsid w:val="007873ED"/>
    <w:rsid w:val="007A43AF"/>
    <w:rsid w:val="007B6BD6"/>
    <w:rsid w:val="007C1F54"/>
    <w:rsid w:val="007F1DA1"/>
    <w:rsid w:val="007F55EE"/>
    <w:rsid w:val="00800B07"/>
    <w:rsid w:val="0080447B"/>
    <w:rsid w:val="008074CC"/>
    <w:rsid w:val="00864B24"/>
    <w:rsid w:val="00884C71"/>
    <w:rsid w:val="008A20B6"/>
    <w:rsid w:val="008B6013"/>
    <w:rsid w:val="008D0770"/>
    <w:rsid w:val="008E2D16"/>
    <w:rsid w:val="00901924"/>
    <w:rsid w:val="009161FC"/>
    <w:rsid w:val="0094327F"/>
    <w:rsid w:val="009605CF"/>
    <w:rsid w:val="00974718"/>
    <w:rsid w:val="00985671"/>
    <w:rsid w:val="009A10CC"/>
    <w:rsid w:val="009C06F5"/>
    <w:rsid w:val="009C33F2"/>
    <w:rsid w:val="009C512B"/>
    <w:rsid w:val="009D1E3D"/>
    <w:rsid w:val="009F4159"/>
    <w:rsid w:val="009F5543"/>
    <w:rsid w:val="00A33549"/>
    <w:rsid w:val="00A40C7C"/>
    <w:rsid w:val="00A6472D"/>
    <w:rsid w:val="00A708A4"/>
    <w:rsid w:val="00A91D61"/>
    <w:rsid w:val="00AA55F6"/>
    <w:rsid w:val="00AA6BEC"/>
    <w:rsid w:val="00AD5194"/>
    <w:rsid w:val="00AD62A3"/>
    <w:rsid w:val="00AE073B"/>
    <w:rsid w:val="00AE4574"/>
    <w:rsid w:val="00AF7D33"/>
    <w:rsid w:val="00B24ABB"/>
    <w:rsid w:val="00B32B6D"/>
    <w:rsid w:val="00B37A57"/>
    <w:rsid w:val="00B55CE5"/>
    <w:rsid w:val="00B6433F"/>
    <w:rsid w:val="00B71DDE"/>
    <w:rsid w:val="00B879FD"/>
    <w:rsid w:val="00B930E0"/>
    <w:rsid w:val="00B96AB9"/>
    <w:rsid w:val="00B96AC8"/>
    <w:rsid w:val="00BB7CAA"/>
    <w:rsid w:val="00BC68E1"/>
    <w:rsid w:val="00BE5180"/>
    <w:rsid w:val="00C23E35"/>
    <w:rsid w:val="00C40B91"/>
    <w:rsid w:val="00C62FE6"/>
    <w:rsid w:val="00C632DA"/>
    <w:rsid w:val="00C66F21"/>
    <w:rsid w:val="00C91B4D"/>
    <w:rsid w:val="00C96C87"/>
    <w:rsid w:val="00CA3F8A"/>
    <w:rsid w:val="00CA51B2"/>
    <w:rsid w:val="00CA58F3"/>
    <w:rsid w:val="00CA5A12"/>
    <w:rsid w:val="00CA7A9F"/>
    <w:rsid w:val="00CF0850"/>
    <w:rsid w:val="00CF16B4"/>
    <w:rsid w:val="00D02B7C"/>
    <w:rsid w:val="00D21127"/>
    <w:rsid w:val="00D40D5C"/>
    <w:rsid w:val="00D575F3"/>
    <w:rsid w:val="00D761F1"/>
    <w:rsid w:val="00DA237F"/>
    <w:rsid w:val="00DC15BE"/>
    <w:rsid w:val="00DD43F3"/>
    <w:rsid w:val="00DD62C9"/>
    <w:rsid w:val="00DE232B"/>
    <w:rsid w:val="00EB33CD"/>
    <w:rsid w:val="00EC25B9"/>
    <w:rsid w:val="00ED5F19"/>
    <w:rsid w:val="00EE4D24"/>
    <w:rsid w:val="00EF4651"/>
    <w:rsid w:val="00F24EB6"/>
    <w:rsid w:val="00F27183"/>
    <w:rsid w:val="00F40265"/>
    <w:rsid w:val="00F472E5"/>
    <w:rsid w:val="00F71F29"/>
    <w:rsid w:val="00F944D2"/>
    <w:rsid w:val="00FA0A21"/>
    <w:rsid w:val="00FA4173"/>
    <w:rsid w:val="00FA6498"/>
    <w:rsid w:val="00FB57DA"/>
    <w:rsid w:val="00FC0EBF"/>
    <w:rsid w:val="00FC7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BD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6C8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Note Heading"/>
    <w:basedOn w:val="a"/>
    <w:next w:val="a"/>
    <w:link w:val="a4"/>
    <w:rsid w:val="003B0952"/>
    <w:pPr>
      <w:jc w:val="center"/>
    </w:pPr>
    <w:rPr>
      <w:rFonts w:ascii="標楷體" w:eastAsia="標楷體" w:hAnsi="標楷體" w:cs="細明體"/>
      <w:w w:val="90"/>
      <w:sz w:val="32"/>
      <w:szCs w:val="32"/>
    </w:rPr>
  </w:style>
  <w:style w:type="character" w:customStyle="1" w:styleId="a4">
    <w:name w:val="註釋標題 字元"/>
    <w:basedOn w:val="a0"/>
    <w:link w:val="a3"/>
    <w:rsid w:val="003B0952"/>
    <w:rPr>
      <w:rFonts w:ascii="標楷體" w:eastAsia="標楷體" w:hAnsi="標楷體" w:cs="細明體"/>
      <w:w w:val="90"/>
      <w:sz w:val="32"/>
      <w:szCs w:val="32"/>
    </w:rPr>
  </w:style>
  <w:style w:type="paragraph" w:styleId="a5">
    <w:name w:val="Body Text Indent"/>
    <w:basedOn w:val="a"/>
    <w:link w:val="a6"/>
    <w:rsid w:val="003B0952"/>
    <w:pPr>
      <w:adjustRightInd w:val="0"/>
      <w:spacing w:line="360" w:lineRule="atLeast"/>
      <w:ind w:left="1200" w:hanging="1200"/>
      <w:textAlignment w:val="baseline"/>
    </w:pPr>
    <w:rPr>
      <w:rFonts w:eastAsia="細明體"/>
      <w:kern w:val="0"/>
      <w:szCs w:val="20"/>
    </w:rPr>
  </w:style>
  <w:style w:type="character" w:customStyle="1" w:styleId="a6">
    <w:name w:val="本文縮排 字元"/>
    <w:basedOn w:val="a0"/>
    <w:link w:val="a5"/>
    <w:rsid w:val="003B0952"/>
    <w:rPr>
      <w:rFonts w:ascii="Times New Roman" w:eastAsia="細明體" w:hAnsi="Times New Roman" w:cs="Times New Roman"/>
      <w:kern w:val="0"/>
      <w:szCs w:val="20"/>
    </w:rPr>
  </w:style>
  <w:style w:type="paragraph" w:styleId="a7">
    <w:name w:val="List Paragraph"/>
    <w:basedOn w:val="a"/>
    <w:qFormat/>
    <w:rsid w:val="00AE073B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ECF8-7D2A-455C-A9CC-0C65A4BB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208b</dc:creator>
  <cp:lastModifiedBy>208b</cp:lastModifiedBy>
  <cp:revision>2</cp:revision>
  <dcterms:created xsi:type="dcterms:W3CDTF">2011-04-12T01:41:00Z</dcterms:created>
  <dcterms:modified xsi:type="dcterms:W3CDTF">2011-04-12T01:41:00Z</dcterms:modified>
</cp:coreProperties>
</file>