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03" w:rsidRDefault="00AE141B" w:rsidP="00825803">
      <w:pPr>
        <w:snapToGrid w:val="0"/>
        <w:spacing w:line="480" w:lineRule="atLeast"/>
        <w:contextualSpacing/>
        <w:jc w:val="center"/>
        <w:rPr>
          <w:rFonts w:ascii="標楷體" w:eastAsia="標楷體" w:hAnsi="標楷體"/>
          <w:color w:val="000000"/>
          <w:sz w:val="28"/>
        </w:rPr>
      </w:pPr>
      <w:r w:rsidRPr="00823FA9">
        <w:rPr>
          <w:rFonts w:ascii="標楷體" w:eastAsia="標楷體" w:hAnsi="標楷體" w:hint="eastAsia"/>
          <w:bCs/>
          <w:sz w:val="32"/>
        </w:rPr>
        <w:t>飼料玉米台南24號採種試驗</w:t>
      </w:r>
    </w:p>
    <w:p w:rsidR="00AE141B" w:rsidRPr="0042757A" w:rsidRDefault="00AE141B" w:rsidP="00825803">
      <w:pPr>
        <w:snapToGrid w:val="0"/>
        <w:spacing w:line="480" w:lineRule="atLeast"/>
        <w:ind w:firstLineChars="1750" w:firstLine="4900"/>
        <w:contextualSpacing/>
        <w:jc w:val="both"/>
        <w:rPr>
          <w:rFonts w:ascii="標楷體" w:eastAsia="標楷體" w:hAnsi="標楷體"/>
          <w:color w:val="000000"/>
          <w:sz w:val="28"/>
        </w:rPr>
      </w:pPr>
      <w:r w:rsidRPr="0042757A">
        <w:rPr>
          <w:rFonts w:ascii="標楷體" w:eastAsia="標楷體" w:hAnsi="標楷體" w:hint="eastAsia"/>
          <w:color w:val="000000"/>
          <w:sz w:val="28"/>
        </w:rPr>
        <w:t>廖伯基、黃俊杉、鄧山河</w:t>
      </w:r>
    </w:p>
    <w:p w:rsidR="00AE141B"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sz w:val="28"/>
        </w:rPr>
      </w:pPr>
      <w:r w:rsidRPr="0042757A">
        <w:rPr>
          <w:rFonts w:ascii="標楷體" w:eastAsia="標楷體" w:hAnsi="標楷體" w:hint="eastAsia"/>
          <w:sz w:val="28"/>
        </w:rPr>
        <w:t>飼料玉米台南24號為台南區農業改良場新育成之新品種，該品種為三系雜交品種，以台南20號為母本，另一自交系為父本。由於母本親為雜交種，因此植株較父本高大，生長勢強，始花期較早。為降低日後採種之風險，於本場農場及屏東種苗研究中心進行花期配合調查。屏東試區98年進行1、2、3、4、5、9、10、11、12月份播種批次，父母本播種期採父母本同天播種，且採1：4行數，行長80公尺。期間調查父本開花期、母本吐絲期、生育日數、脫粒率、結實率，去雄方法對花期影響等。由（表</w:t>
      </w:r>
      <w:r>
        <w:rPr>
          <w:rFonts w:ascii="標楷體" w:eastAsia="標楷體" w:hAnsi="標楷體" w:hint="eastAsia"/>
          <w:sz w:val="28"/>
        </w:rPr>
        <w:t>一</w:t>
      </w:r>
      <w:r w:rsidRPr="0042757A">
        <w:rPr>
          <w:rFonts w:ascii="標楷體" w:eastAsia="標楷體" w:hAnsi="標楷體" w:hint="eastAsia"/>
          <w:sz w:val="28"/>
        </w:rPr>
        <w:t>）顯示父母本平均ASI花期差異在屏東地區為1.5~4.3天之間，且隨著氣溫降低而有差異增加趨勢，而果穗脫粒率約為40﹪。就父母本ASI值判斷，在屏東4、5月父母本同天播種雖無法達到最高產量，但果穗種子結實率仍可達90﹪尚在可接受範圍，唯生育中後期有梅雨影響種子品質之風險。由（表</w:t>
      </w:r>
      <w:r>
        <w:rPr>
          <w:rFonts w:ascii="標楷體" w:eastAsia="標楷體" w:hAnsi="標楷體" w:hint="eastAsia"/>
          <w:sz w:val="28"/>
        </w:rPr>
        <w:t>二</w:t>
      </w:r>
      <w:r w:rsidRPr="0042757A">
        <w:rPr>
          <w:rFonts w:ascii="標楷體" w:eastAsia="標楷體" w:hAnsi="標楷體" w:hint="eastAsia"/>
          <w:sz w:val="28"/>
        </w:rPr>
        <w:t>）顯示母本去雄時間點延遲將使母本植株吐絲期延後0.4天，藉由母本植株延後去雄作業有利於花期配合，但也有母本植株自交之風險，去雄方法仍需確認。農場於2、3、5及6月播種，其花期配合如表三。由調查資料顯示父母本花期差異在新社地區仍隨著氣溫降低而差異增加，且花期差異天數也增加至4~8天，就新社2、3月採種父本以提早2~3天播種為宜。為使父母本花期差異縮小，父本種子經浸潤處理以促進提早發芽出土生育。表四為種子浸潤2~10小時後播種4天之發芽情形，顯然隨著浸潤時間有助於提早發芽，唯不會因機械播種造成種子傷害之適當浸潤時間仍需確認。</w:t>
      </w:r>
    </w:p>
    <w:p w:rsidR="00AE141B"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sz w:val="28"/>
        </w:rPr>
      </w:pPr>
    </w:p>
    <w:p w:rsidR="00AE141B"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sz w:val="28"/>
        </w:rPr>
      </w:pPr>
    </w:p>
    <w:p w:rsidR="00AE141B"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sz w:val="28"/>
        </w:rPr>
      </w:pPr>
    </w:p>
    <w:p w:rsidR="00AE141B"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color w:val="000000"/>
          <w:sz w:val="28"/>
        </w:rPr>
      </w:pPr>
    </w:p>
    <w:p w:rsidR="00AE141B" w:rsidRPr="0042757A" w:rsidRDefault="00AE141B" w:rsidP="00AE141B">
      <w:pPr>
        <w:autoSpaceDE w:val="0"/>
        <w:autoSpaceDN w:val="0"/>
        <w:adjustRightInd w:val="0"/>
        <w:snapToGrid w:val="0"/>
        <w:spacing w:line="480" w:lineRule="atLeast"/>
        <w:ind w:left="646" w:firstLineChars="200" w:firstLine="560"/>
        <w:contextualSpacing/>
        <w:jc w:val="both"/>
        <w:rPr>
          <w:rFonts w:ascii="標楷體" w:eastAsia="標楷體" w:hAnsi="標楷體"/>
          <w:color w:val="000000"/>
          <w:sz w:val="28"/>
        </w:rPr>
      </w:pPr>
    </w:p>
    <w:p w:rsidR="00AE141B" w:rsidRPr="00086E9D" w:rsidRDefault="00AE141B" w:rsidP="00AE141B">
      <w:pPr>
        <w:snapToGrid w:val="0"/>
        <w:spacing w:line="400" w:lineRule="atLeast"/>
        <w:contextualSpacing/>
        <w:rPr>
          <w:rFonts w:ascii="標楷體" w:eastAsia="標楷體" w:hAnsi="標楷體"/>
          <w:sz w:val="28"/>
          <w:szCs w:val="28"/>
        </w:rPr>
      </w:pPr>
      <w:r w:rsidRPr="00086E9D">
        <w:rPr>
          <w:rFonts w:ascii="標楷體" w:eastAsia="標楷體" w:hAnsi="標楷體" w:hint="eastAsia"/>
          <w:sz w:val="28"/>
          <w:szCs w:val="28"/>
        </w:rPr>
        <w:t>表一、屏東地區不同月份台南24號採種性狀調查表</w:t>
      </w:r>
    </w:p>
    <w:tbl>
      <w:tblPr>
        <w:tblW w:w="969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00"/>
        <w:gridCol w:w="790"/>
        <w:gridCol w:w="965"/>
        <w:gridCol w:w="877"/>
        <w:gridCol w:w="878"/>
        <w:gridCol w:w="877"/>
        <w:gridCol w:w="878"/>
        <w:gridCol w:w="877"/>
        <w:gridCol w:w="878"/>
        <w:gridCol w:w="878"/>
      </w:tblGrid>
      <w:tr w:rsidR="008D4C1A" w:rsidRPr="0042757A" w:rsidTr="008D4C1A">
        <w:trPr>
          <w:trHeight w:val="570"/>
        </w:trPr>
        <w:tc>
          <w:tcPr>
            <w:tcW w:w="1800" w:type="dxa"/>
            <w:vAlign w:val="center"/>
          </w:tcPr>
          <w:p w:rsidR="008D4C1A" w:rsidRPr="0042757A" w:rsidRDefault="008D4C1A"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播種期</w:t>
            </w:r>
          </w:p>
        </w:tc>
        <w:tc>
          <w:tcPr>
            <w:tcW w:w="790"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一月</w:t>
            </w:r>
          </w:p>
        </w:tc>
        <w:tc>
          <w:tcPr>
            <w:tcW w:w="965"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二月</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三月</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四月</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五月</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九月</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十月</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十一月</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Pr>
                <w:rFonts w:ascii="標楷體" w:eastAsia="標楷體" w:hAnsi="標楷體" w:hint="eastAsia"/>
                <w:sz w:val="20"/>
                <w:szCs w:val="20"/>
              </w:rPr>
              <w:t>十二月</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母本吐絲期（天）</w:t>
            </w:r>
          </w:p>
        </w:tc>
        <w:tc>
          <w:tcPr>
            <w:tcW w:w="790"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64.85</w:t>
            </w:r>
          </w:p>
        </w:tc>
        <w:tc>
          <w:tcPr>
            <w:tcW w:w="965"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58.78</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57.97</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53.15</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49.50</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51.25</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53.00</w:t>
            </w:r>
          </w:p>
        </w:tc>
        <w:tc>
          <w:tcPr>
            <w:tcW w:w="878" w:type="dxa"/>
            <w:vAlign w:val="center"/>
          </w:tcPr>
          <w:p w:rsidR="008D4C1A" w:rsidRPr="00465DD6" w:rsidRDefault="008D4C1A" w:rsidP="005151D1">
            <w:pPr>
              <w:snapToGrid w:val="0"/>
              <w:spacing w:beforeLines="150"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71.38</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70.99</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父本開花期（天）</w:t>
            </w:r>
          </w:p>
        </w:tc>
        <w:tc>
          <w:tcPr>
            <w:tcW w:w="790"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69.15</w:t>
            </w:r>
          </w:p>
        </w:tc>
        <w:tc>
          <w:tcPr>
            <w:tcW w:w="965"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61.80</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61.80</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56.11</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51.05</w:t>
            </w:r>
          </w:p>
        </w:tc>
        <w:tc>
          <w:tcPr>
            <w:tcW w:w="878"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53.80</w:t>
            </w:r>
          </w:p>
        </w:tc>
        <w:tc>
          <w:tcPr>
            <w:tcW w:w="877" w:type="dxa"/>
            <w:vAlign w:val="center"/>
          </w:tcPr>
          <w:p w:rsidR="008D4C1A" w:rsidRPr="008D4C1A" w:rsidRDefault="008D4C1A" w:rsidP="005151D1">
            <w:pPr>
              <w:snapToGrid w:val="0"/>
              <w:spacing w:beforeLines="150"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58.96</w:t>
            </w:r>
          </w:p>
        </w:tc>
        <w:tc>
          <w:tcPr>
            <w:tcW w:w="878" w:type="dxa"/>
            <w:vAlign w:val="center"/>
          </w:tcPr>
          <w:p w:rsidR="008D4C1A" w:rsidRPr="00465DD6" w:rsidRDefault="008D4C1A" w:rsidP="005151D1">
            <w:pPr>
              <w:snapToGrid w:val="0"/>
              <w:spacing w:beforeLines="150"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73.51</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74.54</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父母本ASI（天）</w:t>
            </w:r>
          </w:p>
        </w:tc>
        <w:tc>
          <w:tcPr>
            <w:tcW w:w="790"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-4.30</w:t>
            </w:r>
          </w:p>
        </w:tc>
        <w:tc>
          <w:tcPr>
            <w:tcW w:w="965"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-3.02</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-3.83</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-2.96</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-1.55</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-2.55</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-5.96</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-2.13</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-3.55</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採收期生育日數</w:t>
            </w:r>
          </w:p>
        </w:tc>
        <w:tc>
          <w:tcPr>
            <w:tcW w:w="790"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107</w:t>
            </w:r>
          </w:p>
        </w:tc>
        <w:tc>
          <w:tcPr>
            <w:tcW w:w="965"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102</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100</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94</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90</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107</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120</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123</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118</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果穗脫粒率（﹪）</w:t>
            </w:r>
          </w:p>
        </w:tc>
        <w:tc>
          <w:tcPr>
            <w:tcW w:w="790"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37.00</w:t>
            </w:r>
          </w:p>
        </w:tc>
        <w:tc>
          <w:tcPr>
            <w:tcW w:w="965"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40.15</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43.33</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38.37</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37.27</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47.42</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53.20</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47.10</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39.08</w:t>
            </w:r>
          </w:p>
        </w:tc>
      </w:tr>
      <w:tr w:rsidR="008D4C1A" w:rsidRPr="0042757A" w:rsidTr="008D4C1A">
        <w:trPr>
          <w:trHeight w:val="570"/>
        </w:trPr>
        <w:tc>
          <w:tcPr>
            <w:tcW w:w="1800" w:type="dxa"/>
            <w:vAlign w:val="center"/>
          </w:tcPr>
          <w:p w:rsidR="008D4C1A" w:rsidRPr="0042757A" w:rsidRDefault="008D4C1A" w:rsidP="008D4C1A">
            <w:pPr>
              <w:snapToGrid w:val="0"/>
              <w:spacing w:line="400" w:lineRule="atLeast"/>
              <w:contextualSpacing/>
              <w:jc w:val="center"/>
              <w:rPr>
                <w:rFonts w:ascii="標楷體" w:eastAsia="標楷體" w:hAnsi="標楷體"/>
              </w:rPr>
            </w:pPr>
            <w:r w:rsidRPr="0042757A">
              <w:rPr>
                <w:rFonts w:ascii="標楷體" w:eastAsia="標楷體" w:hAnsi="標楷體" w:hint="eastAsia"/>
              </w:rPr>
              <w:t>種子結實率（﹪）</w:t>
            </w:r>
          </w:p>
        </w:tc>
        <w:tc>
          <w:tcPr>
            <w:tcW w:w="790"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p>
        </w:tc>
        <w:tc>
          <w:tcPr>
            <w:tcW w:w="965"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97.0</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92.5</w:t>
            </w:r>
          </w:p>
        </w:tc>
        <w:tc>
          <w:tcPr>
            <w:tcW w:w="878"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90.5</w:t>
            </w:r>
          </w:p>
        </w:tc>
        <w:tc>
          <w:tcPr>
            <w:tcW w:w="877" w:type="dxa"/>
            <w:vAlign w:val="center"/>
          </w:tcPr>
          <w:p w:rsidR="008D4C1A" w:rsidRPr="008D4C1A" w:rsidRDefault="008D4C1A" w:rsidP="008D4C1A">
            <w:pPr>
              <w:snapToGrid w:val="0"/>
              <w:spacing w:line="400" w:lineRule="atLeast"/>
              <w:contextualSpacing/>
              <w:jc w:val="center"/>
              <w:rPr>
                <w:rFonts w:ascii="標楷體" w:eastAsia="標楷體" w:hAnsi="標楷體"/>
                <w:sz w:val="20"/>
                <w:szCs w:val="20"/>
              </w:rPr>
            </w:pPr>
            <w:r w:rsidRPr="008D4C1A">
              <w:rPr>
                <w:rFonts w:ascii="標楷體" w:eastAsia="標楷體" w:hAnsi="標楷體" w:hint="eastAsia"/>
                <w:sz w:val="20"/>
                <w:szCs w:val="20"/>
              </w:rPr>
              <w:t>83.3</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92.2</w:t>
            </w:r>
          </w:p>
        </w:tc>
        <w:tc>
          <w:tcPr>
            <w:tcW w:w="878" w:type="dxa"/>
            <w:vAlign w:val="center"/>
          </w:tcPr>
          <w:p w:rsidR="008D4C1A" w:rsidRPr="00465DD6" w:rsidRDefault="008D4C1A" w:rsidP="008D4C1A">
            <w:pPr>
              <w:snapToGrid w:val="0"/>
              <w:spacing w:line="400" w:lineRule="atLeast"/>
              <w:contextualSpacing/>
              <w:jc w:val="center"/>
              <w:rPr>
                <w:rFonts w:ascii="標楷體" w:eastAsia="標楷體" w:hAnsi="標楷體"/>
                <w:sz w:val="20"/>
                <w:szCs w:val="20"/>
              </w:rPr>
            </w:pPr>
            <w:r w:rsidRPr="00465DD6">
              <w:rPr>
                <w:rFonts w:ascii="標楷體" w:eastAsia="標楷體" w:hAnsi="標楷體" w:hint="eastAsia"/>
                <w:sz w:val="20"/>
                <w:szCs w:val="20"/>
              </w:rPr>
              <w:t>79.3</w:t>
            </w:r>
          </w:p>
        </w:tc>
      </w:tr>
    </w:tbl>
    <w:p w:rsidR="00AE141B" w:rsidRPr="0042757A" w:rsidRDefault="00AE141B" w:rsidP="00AE141B">
      <w:pPr>
        <w:pStyle w:val="Web"/>
        <w:widowControl w:val="0"/>
        <w:snapToGrid w:val="0"/>
        <w:spacing w:before="0" w:beforeAutospacing="0" w:after="0" w:afterAutospacing="0" w:line="400" w:lineRule="atLeast"/>
        <w:contextualSpacing/>
        <w:rPr>
          <w:rFonts w:ascii="標楷體" w:eastAsia="標楷體" w:hAnsi="標楷體"/>
          <w:kern w:val="2"/>
        </w:rPr>
      </w:pPr>
      <w:r w:rsidRPr="0042757A">
        <w:rPr>
          <w:rFonts w:ascii="標楷體" w:eastAsia="標楷體" w:hAnsi="標楷體" w:hint="eastAsia"/>
          <w:kern w:val="2"/>
        </w:rPr>
        <w:t>註：</w:t>
      </w:r>
      <w:r w:rsidRPr="0042757A">
        <w:rPr>
          <w:rFonts w:ascii="標楷體" w:eastAsia="標楷體" w:hAnsi="標楷體" w:hint="eastAsia"/>
        </w:rPr>
        <w:t>父母本ASI係為父本雄穗開花期所需生育日數－母本開花期之生育日數</w:t>
      </w:r>
    </w:p>
    <w:p w:rsidR="00AE141B" w:rsidRPr="0042757A" w:rsidRDefault="00AE141B" w:rsidP="00AE141B">
      <w:pPr>
        <w:snapToGrid w:val="0"/>
        <w:spacing w:line="400" w:lineRule="atLeast"/>
        <w:contextualSpacing/>
        <w:rPr>
          <w:rFonts w:ascii="標楷體" w:eastAsia="標楷體" w:hAnsi="標楷體"/>
          <w:color w:val="000000"/>
          <w:sz w:val="28"/>
        </w:rPr>
      </w:pPr>
    </w:p>
    <w:p w:rsidR="00AE141B" w:rsidRPr="00086E9D" w:rsidRDefault="00AE141B" w:rsidP="00AE141B">
      <w:pPr>
        <w:snapToGrid w:val="0"/>
        <w:spacing w:line="400" w:lineRule="atLeast"/>
        <w:contextualSpacing/>
        <w:rPr>
          <w:rFonts w:ascii="標楷體" w:eastAsia="標楷體" w:hAnsi="標楷體"/>
          <w:sz w:val="28"/>
          <w:szCs w:val="28"/>
        </w:rPr>
      </w:pPr>
      <w:r w:rsidRPr="00086E9D">
        <w:rPr>
          <w:rFonts w:ascii="標楷體" w:eastAsia="標楷體" w:hAnsi="標楷體" w:hint="eastAsia"/>
          <w:sz w:val="28"/>
          <w:szCs w:val="28"/>
        </w:rPr>
        <w:t>表二、不同去雄方式對花期之效應</w:t>
      </w:r>
    </w:p>
    <w:tbl>
      <w:tblP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8"/>
        <w:gridCol w:w="1080"/>
        <w:gridCol w:w="1260"/>
        <w:gridCol w:w="1080"/>
        <w:gridCol w:w="1260"/>
        <w:gridCol w:w="1080"/>
        <w:gridCol w:w="1260"/>
      </w:tblGrid>
      <w:tr w:rsidR="00AE141B" w:rsidRPr="0042757A" w:rsidTr="00514141">
        <w:trPr>
          <w:cantSplit/>
        </w:trPr>
        <w:tc>
          <w:tcPr>
            <w:tcW w:w="164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月     份</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3</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w:t>
            </w:r>
          </w:p>
        </w:tc>
      </w:tr>
      <w:tr w:rsidR="00AE141B" w:rsidRPr="0042757A" w:rsidTr="00514141">
        <w:trPr>
          <w:cantSplit/>
        </w:trPr>
        <w:tc>
          <w:tcPr>
            <w:tcW w:w="164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去雄方式</w:t>
            </w:r>
          </w:p>
        </w:tc>
        <w:tc>
          <w:tcPr>
            <w:tcW w:w="108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帶葉去雄</w:t>
            </w:r>
          </w:p>
        </w:tc>
        <w:tc>
          <w:tcPr>
            <w:tcW w:w="126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未帶葉去雄</w:t>
            </w:r>
          </w:p>
        </w:tc>
        <w:tc>
          <w:tcPr>
            <w:tcW w:w="108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帶葉去雄</w:t>
            </w:r>
          </w:p>
        </w:tc>
        <w:tc>
          <w:tcPr>
            <w:tcW w:w="126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未帶葉去雄</w:t>
            </w:r>
          </w:p>
        </w:tc>
        <w:tc>
          <w:tcPr>
            <w:tcW w:w="108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帶葉去雄</w:t>
            </w:r>
          </w:p>
        </w:tc>
        <w:tc>
          <w:tcPr>
            <w:tcW w:w="1260"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未帶葉去雄</w:t>
            </w:r>
          </w:p>
        </w:tc>
      </w:tr>
      <w:tr w:rsidR="00AE141B" w:rsidRPr="0042757A" w:rsidTr="00514141">
        <w:trPr>
          <w:cantSplit/>
        </w:trPr>
        <w:tc>
          <w:tcPr>
            <w:tcW w:w="164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母本吐絲期 天</w:t>
            </w:r>
          </w:p>
        </w:tc>
        <w:tc>
          <w:tcPr>
            <w:tcW w:w="108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57.97</w:t>
            </w:r>
          </w:p>
        </w:tc>
        <w:tc>
          <w:tcPr>
            <w:tcW w:w="12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58.40</w:t>
            </w:r>
          </w:p>
        </w:tc>
        <w:tc>
          <w:tcPr>
            <w:tcW w:w="108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53.15</w:t>
            </w:r>
          </w:p>
        </w:tc>
        <w:tc>
          <w:tcPr>
            <w:tcW w:w="12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53.33</w:t>
            </w:r>
          </w:p>
        </w:tc>
        <w:tc>
          <w:tcPr>
            <w:tcW w:w="108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49.50</w:t>
            </w:r>
          </w:p>
        </w:tc>
        <w:tc>
          <w:tcPr>
            <w:tcW w:w="12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49.95</w:t>
            </w:r>
          </w:p>
        </w:tc>
      </w:tr>
      <w:tr w:rsidR="00AE141B" w:rsidRPr="0042757A" w:rsidTr="00514141">
        <w:trPr>
          <w:cantSplit/>
        </w:trPr>
        <w:tc>
          <w:tcPr>
            <w:tcW w:w="164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吐絲期差異 天</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0.43</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0.18</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0.45</w:t>
            </w:r>
          </w:p>
        </w:tc>
      </w:tr>
      <w:tr w:rsidR="00AE141B" w:rsidRPr="0042757A" w:rsidTr="00514141">
        <w:trPr>
          <w:cantSplit/>
        </w:trPr>
        <w:tc>
          <w:tcPr>
            <w:tcW w:w="164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父本開花期 天</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61.79</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56.11</w:t>
            </w:r>
          </w:p>
        </w:tc>
        <w:tc>
          <w:tcPr>
            <w:tcW w:w="2340" w:type="dxa"/>
            <w:gridSpan w:val="2"/>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51.05</w:t>
            </w:r>
          </w:p>
        </w:tc>
      </w:tr>
    </w:tbl>
    <w:p w:rsidR="00AE141B" w:rsidRPr="0042757A" w:rsidRDefault="00AE141B" w:rsidP="00AE141B">
      <w:pPr>
        <w:snapToGrid w:val="0"/>
        <w:spacing w:line="400" w:lineRule="atLeast"/>
        <w:contextualSpacing/>
        <w:rPr>
          <w:rFonts w:ascii="標楷體" w:eastAsia="標楷體" w:hAnsi="標楷體"/>
          <w:color w:val="000000"/>
          <w:sz w:val="28"/>
        </w:rPr>
      </w:pPr>
    </w:p>
    <w:p w:rsidR="00AE141B" w:rsidRPr="00086E9D" w:rsidRDefault="00AE141B" w:rsidP="00AE141B">
      <w:pPr>
        <w:snapToGrid w:val="0"/>
        <w:spacing w:line="400" w:lineRule="atLeast"/>
        <w:contextualSpacing/>
        <w:rPr>
          <w:rFonts w:ascii="標楷體" w:eastAsia="標楷體" w:hAnsi="標楷體"/>
          <w:sz w:val="28"/>
          <w:szCs w:val="28"/>
        </w:rPr>
      </w:pPr>
      <w:r w:rsidRPr="00086E9D">
        <w:rPr>
          <w:rFonts w:ascii="標楷體" w:eastAsia="標楷體" w:hAnsi="標楷體" w:hint="eastAsia"/>
          <w:sz w:val="28"/>
          <w:szCs w:val="28"/>
        </w:rPr>
        <w:t>表三、新社地區不同月份台南24號採種性狀調查表</w:t>
      </w:r>
    </w:p>
    <w:tbl>
      <w:tblPr>
        <w:tblW w:w="79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00"/>
        <w:gridCol w:w="1530"/>
        <w:gridCol w:w="1530"/>
        <w:gridCol w:w="1530"/>
        <w:gridCol w:w="1530"/>
      </w:tblGrid>
      <w:tr w:rsidR="00AE141B" w:rsidRPr="0042757A" w:rsidTr="00514141">
        <w:trPr>
          <w:trHeight w:val="570"/>
        </w:trPr>
        <w:tc>
          <w:tcPr>
            <w:tcW w:w="180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播種期</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2月20日</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3月16日</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5月7日</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6月9日</w:t>
            </w:r>
          </w:p>
        </w:tc>
      </w:tr>
      <w:tr w:rsidR="00AE141B" w:rsidRPr="0042757A" w:rsidTr="00514141">
        <w:trPr>
          <w:trHeight w:val="570"/>
        </w:trPr>
        <w:tc>
          <w:tcPr>
            <w:tcW w:w="180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母本吐絲期（天）</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77</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68.5</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54.5</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52.5</w:t>
            </w:r>
          </w:p>
        </w:tc>
      </w:tr>
      <w:tr w:rsidR="00AE141B" w:rsidRPr="0042757A" w:rsidTr="00514141">
        <w:trPr>
          <w:trHeight w:val="570"/>
        </w:trPr>
        <w:tc>
          <w:tcPr>
            <w:tcW w:w="180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父本開花期（天）</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85</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75.5</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59.0</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57.0</w:t>
            </w:r>
          </w:p>
        </w:tc>
      </w:tr>
      <w:tr w:rsidR="00AE141B" w:rsidRPr="0042757A" w:rsidTr="00514141">
        <w:trPr>
          <w:trHeight w:val="570"/>
        </w:trPr>
        <w:tc>
          <w:tcPr>
            <w:tcW w:w="180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父母本ASI（天）</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-8</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-7</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-4.5</w:t>
            </w:r>
          </w:p>
        </w:tc>
        <w:tc>
          <w:tcPr>
            <w:tcW w:w="1530" w:type="dxa"/>
            <w:vAlign w:val="center"/>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-4.5</w:t>
            </w:r>
          </w:p>
        </w:tc>
      </w:tr>
    </w:tbl>
    <w:p w:rsidR="00AE141B" w:rsidRPr="0042757A" w:rsidRDefault="00AE141B" w:rsidP="00AE141B">
      <w:pPr>
        <w:snapToGrid w:val="0"/>
        <w:spacing w:line="400" w:lineRule="atLeast"/>
        <w:contextualSpacing/>
        <w:rPr>
          <w:rFonts w:ascii="標楷體" w:eastAsia="標楷體" w:hAnsi="標楷體"/>
          <w:color w:val="000000"/>
          <w:sz w:val="28"/>
        </w:rPr>
      </w:pPr>
    </w:p>
    <w:p w:rsidR="00AE141B" w:rsidRPr="00086E9D" w:rsidRDefault="00AE141B" w:rsidP="00AE141B">
      <w:pPr>
        <w:snapToGrid w:val="0"/>
        <w:spacing w:line="400" w:lineRule="atLeast"/>
        <w:contextualSpacing/>
        <w:rPr>
          <w:rFonts w:ascii="標楷體" w:eastAsia="標楷體" w:hAnsi="標楷體"/>
          <w:sz w:val="28"/>
          <w:szCs w:val="28"/>
        </w:rPr>
      </w:pPr>
      <w:r w:rsidRPr="00086E9D">
        <w:rPr>
          <w:rFonts w:ascii="標楷體" w:eastAsia="標楷體" w:hAnsi="標楷體" w:hint="eastAsia"/>
          <w:sz w:val="28"/>
          <w:szCs w:val="28"/>
        </w:rPr>
        <w:t>表四、種子浸潤處理對發芽之效應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08"/>
        <w:gridCol w:w="960"/>
        <w:gridCol w:w="960"/>
        <w:gridCol w:w="960"/>
        <w:gridCol w:w="960"/>
        <w:gridCol w:w="960"/>
        <w:gridCol w:w="960"/>
      </w:tblGrid>
      <w:tr w:rsidR="00AE141B" w:rsidRPr="0042757A" w:rsidTr="00514141">
        <w:tc>
          <w:tcPr>
            <w:tcW w:w="2008" w:type="dxa"/>
          </w:tcPr>
          <w:p w:rsidR="00AE141B" w:rsidRPr="0042757A" w:rsidRDefault="00AE141B" w:rsidP="00514141">
            <w:pPr>
              <w:snapToGrid w:val="0"/>
              <w:spacing w:line="400" w:lineRule="atLeast"/>
              <w:contextualSpacing/>
              <w:rPr>
                <w:rFonts w:ascii="標楷體" w:eastAsia="標楷體" w:hAnsi="標楷體"/>
                <w:sz w:val="28"/>
              </w:rPr>
            </w:pPr>
            <w:r w:rsidRPr="0042757A">
              <w:rPr>
                <w:rFonts w:ascii="標楷體" w:eastAsia="標楷體" w:hAnsi="標楷體" w:hint="eastAsia"/>
              </w:rPr>
              <w:t>浸潤時間（hrs）</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0</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2</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4</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6</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8</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10</w:t>
            </w:r>
          </w:p>
        </w:tc>
      </w:tr>
      <w:tr w:rsidR="00AE141B" w:rsidRPr="0042757A" w:rsidTr="00514141">
        <w:tc>
          <w:tcPr>
            <w:tcW w:w="2008" w:type="dxa"/>
          </w:tcPr>
          <w:p w:rsidR="00AE141B" w:rsidRPr="0042757A" w:rsidRDefault="00AE141B" w:rsidP="00514141">
            <w:pPr>
              <w:snapToGrid w:val="0"/>
              <w:spacing w:line="400" w:lineRule="atLeast"/>
              <w:contextualSpacing/>
              <w:rPr>
                <w:rFonts w:ascii="標楷體" w:eastAsia="標楷體" w:hAnsi="標楷體"/>
              </w:rPr>
            </w:pPr>
            <w:r w:rsidRPr="0042757A">
              <w:rPr>
                <w:rFonts w:ascii="標楷體" w:eastAsia="標楷體" w:hAnsi="標楷體" w:hint="eastAsia"/>
              </w:rPr>
              <w:t>播種4天發芽率﹪</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52</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68</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76</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82</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94</w:t>
            </w:r>
          </w:p>
        </w:tc>
        <w:tc>
          <w:tcPr>
            <w:tcW w:w="960" w:type="dxa"/>
          </w:tcPr>
          <w:p w:rsidR="00AE141B" w:rsidRPr="0042757A" w:rsidRDefault="00AE141B" w:rsidP="00514141">
            <w:pPr>
              <w:snapToGrid w:val="0"/>
              <w:spacing w:line="400" w:lineRule="atLeast"/>
              <w:contextualSpacing/>
              <w:jc w:val="center"/>
              <w:rPr>
                <w:rFonts w:ascii="標楷體" w:eastAsia="標楷體" w:hAnsi="標楷體"/>
              </w:rPr>
            </w:pPr>
            <w:r w:rsidRPr="0042757A">
              <w:rPr>
                <w:rFonts w:ascii="標楷體" w:eastAsia="標楷體" w:hAnsi="標楷體" w:hint="eastAsia"/>
              </w:rPr>
              <w:t>97</w:t>
            </w:r>
          </w:p>
        </w:tc>
      </w:tr>
    </w:tbl>
    <w:p w:rsidR="00AE141B" w:rsidRPr="0042757A" w:rsidRDefault="00AE141B" w:rsidP="00AE141B">
      <w:pPr>
        <w:snapToGrid w:val="0"/>
        <w:spacing w:line="400" w:lineRule="atLeast"/>
        <w:contextualSpacing/>
        <w:rPr>
          <w:rFonts w:ascii="標楷體" w:eastAsia="標楷體" w:hAnsi="標楷體"/>
          <w:sz w:val="28"/>
        </w:rPr>
      </w:pPr>
    </w:p>
    <w:p w:rsidR="006F791F" w:rsidRDefault="006F791F"/>
    <w:sectPr w:rsidR="006F791F" w:rsidSect="006F791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DF" w:rsidRDefault="00774DDF" w:rsidP="00825803">
      <w:r>
        <w:separator/>
      </w:r>
    </w:p>
  </w:endnote>
  <w:endnote w:type="continuationSeparator" w:id="0">
    <w:p w:rsidR="00774DDF" w:rsidRDefault="00774DDF" w:rsidP="00825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DF" w:rsidRDefault="00774DDF" w:rsidP="00825803">
      <w:r>
        <w:separator/>
      </w:r>
    </w:p>
  </w:footnote>
  <w:footnote w:type="continuationSeparator" w:id="0">
    <w:p w:rsidR="00774DDF" w:rsidRDefault="00774DDF" w:rsidP="00825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41B"/>
    <w:rsid w:val="00336344"/>
    <w:rsid w:val="00465DD6"/>
    <w:rsid w:val="005151D1"/>
    <w:rsid w:val="006374D7"/>
    <w:rsid w:val="006F791F"/>
    <w:rsid w:val="00774DDF"/>
    <w:rsid w:val="00825803"/>
    <w:rsid w:val="008501DA"/>
    <w:rsid w:val="008D4C1A"/>
    <w:rsid w:val="00AE141B"/>
    <w:rsid w:val="00C80F53"/>
    <w:rsid w:val="00F521D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AE141B"/>
    <w:pPr>
      <w:widowControl/>
      <w:spacing w:before="100" w:beforeAutospacing="1" w:after="100" w:afterAutospacing="1"/>
    </w:pPr>
    <w:rPr>
      <w:rFonts w:ascii="Arial Unicode MS" w:eastAsia="Times New Roman" w:hAnsi="Arial Unicode MS"/>
      <w:color w:val="000000"/>
      <w:kern w:val="0"/>
    </w:rPr>
  </w:style>
  <w:style w:type="paragraph" w:styleId="a3">
    <w:name w:val="header"/>
    <w:basedOn w:val="a"/>
    <w:link w:val="a4"/>
    <w:uiPriority w:val="99"/>
    <w:semiHidden/>
    <w:unhideWhenUsed/>
    <w:rsid w:val="00825803"/>
    <w:pPr>
      <w:tabs>
        <w:tab w:val="center" w:pos="4153"/>
        <w:tab w:val="right" w:pos="8306"/>
      </w:tabs>
      <w:snapToGrid w:val="0"/>
    </w:pPr>
    <w:rPr>
      <w:sz w:val="20"/>
      <w:szCs w:val="20"/>
    </w:rPr>
  </w:style>
  <w:style w:type="character" w:customStyle="1" w:styleId="a4">
    <w:name w:val="頁首 字元"/>
    <w:basedOn w:val="a0"/>
    <w:link w:val="a3"/>
    <w:uiPriority w:val="99"/>
    <w:semiHidden/>
    <w:rsid w:val="00825803"/>
    <w:rPr>
      <w:rFonts w:ascii="Times New Roman" w:eastAsia="新細明體" w:hAnsi="Times New Roman" w:cs="Times New Roman"/>
      <w:sz w:val="20"/>
      <w:szCs w:val="20"/>
    </w:rPr>
  </w:style>
  <w:style w:type="paragraph" w:styleId="a5">
    <w:name w:val="footer"/>
    <w:basedOn w:val="a"/>
    <w:link w:val="a6"/>
    <w:uiPriority w:val="99"/>
    <w:semiHidden/>
    <w:unhideWhenUsed/>
    <w:rsid w:val="00825803"/>
    <w:pPr>
      <w:tabs>
        <w:tab w:val="center" w:pos="4153"/>
        <w:tab w:val="right" w:pos="8306"/>
      </w:tabs>
      <w:snapToGrid w:val="0"/>
    </w:pPr>
    <w:rPr>
      <w:sz w:val="20"/>
      <w:szCs w:val="20"/>
    </w:rPr>
  </w:style>
  <w:style w:type="character" w:customStyle="1" w:styleId="a6">
    <w:name w:val="頁尾 字元"/>
    <w:basedOn w:val="a0"/>
    <w:link w:val="a5"/>
    <w:uiPriority w:val="99"/>
    <w:semiHidden/>
    <w:rsid w:val="0082580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liao5907j</dc:creator>
  <cp:lastModifiedBy>liao5907j</cp:lastModifiedBy>
  <cp:revision>2</cp:revision>
  <cp:lastPrinted>2010-06-28T07:32:00Z</cp:lastPrinted>
  <dcterms:created xsi:type="dcterms:W3CDTF">2012-10-18T02:51:00Z</dcterms:created>
  <dcterms:modified xsi:type="dcterms:W3CDTF">2012-10-18T02:51:00Z</dcterms:modified>
</cp:coreProperties>
</file>