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51" w:rsidRPr="006A0372" w:rsidRDefault="00C80151" w:rsidP="00C80151">
      <w:pPr>
        <w:jc w:val="center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A0372">
        <w:rPr>
          <w:rFonts w:ascii="標楷體" w:eastAsia="標楷體" w:hAnsi="標楷體" w:cs="細明體"/>
          <w:b/>
          <w:kern w:val="0"/>
          <w:sz w:val="28"/>
          <w:szCs w:val="28"/>
        </w:rPr>
        <w:t>油茶嫁接苗生產</w:t>
      </w:r>
      <w:r w:rsidR="00703679">
        <w:rPr>
          <w:rFonts w:ascii="標楷體" w:eastAsia="標楷體" w:hAnsi="標楷體" w:cs="細明體"/>
          <w:b/>
          <w:kern w:val="0"/>
          <w:sz w:val="28"/>
          <w:szCs w:val="28"/>
        </w:rPr>
        <w:t>（</w:t>
      </w:r>
      <w:r w:rsidR="00703679">
        <w:rPr>
          <w:rFonts w:ascii="標楷體" w:eastAsia="標楷體" w:hAnsi="標楷體" w:cs="細明體" w:hint="eastAsia"/>
          <w:b/>
          <w:kern w:val="0"/>
          <w:sz w:val="28"/>
          <w:szCs w:val="28"/>
        </w:rPr>
        <w:t>上</w:t>
      </w:r>
      <w:r w:rsidR="00703679">
        <w:rPr>
          <w:rFonts w:ascii="標楷體" w:eastAsia="標楷體" w:hAnsi="標楷體" w:cs="細明體"/>
          <w:b/>
          <w:kern w:val="0"/>
          <w:sz w:val="28"/>
          <w:szCs w:val="28"/>
        </w:rPr>
        <w:t>）</w:t>
      </w:r>
    </w:p>
    <w:p w:rsidR="00C80151" w:rsidRPr="006A0372" w:rsidRDefault="00C80151" w:rsidP="00C80151">
      <w:pPr>
        <w:pStyle w:val="a3"/>
        <w:ind w:leftChars="0"/>
        <w:jc w:val="center"/>
        <w:rPr>
          <w:rFonts w:ascii="標楷體" w:eastAsia="標楷體" w:hAnsi="標楷體" w:cs="細明體"/>
          <w:b/>
          <w:kern w:val="0"/>
          <w:szCs w:val="24"/>
        </w:rPr>
      </w:pPr>
      <w:r w:rsidRPr="006A0372">
        <w:rPr>
          <w:rFonts w:ascii="標楷體" w:eastAsia="標楷體" w:hAnsi="標楷體" w:cs="細明體"/>
          <w:b/>
          <w:kern w:val="0"/>
          <w:szCs w:val="24"/>
        </w:rPr>
        <w:t>前言</w:t>
      </w:r>
    </w:p>
    <w:p w:rsidR="007E2634" w:rsidRPr="00D603DD" w:rsidRDefault="00C80151" w:rsidP="00443ED1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油茶為重要的油料作物，具有適應性強、經營成本低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及</w:t>
      </w:r>
      <w:r w:rsidRPr="006A0372">
        <w:rPr>
          <w:rFonts w:ascii="標楷體" w:eastAsia="標楷體" w:hAnsi="標楷體" w:cs="細明體"/>
          <w:kern w:val="0"/>
          <w:szCs w:val="24"/>
        </w:rPr>
        <w:t>用途廣泛等特點，為優良的食用油並深受廣大消費者的喜愛，在市場上有很大的發展空間。</w:t>
      </w:r>
      <w:r w:rsidRPr="006A0372">
        <w:rPr>
          <w:rFonts w:ascii="標楷體" w:eastAsia="標楷體" w:hAnsi="標楷體" w:cs="DFKaiShu-SB-Estd-BF" w:hint="eastAsia"/>
          <w:kern w:val="0"/>
          <w:szCs w:val="24"/>
        </w:rPr>
        <w:t>但早期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種植的油茶因豐產植株比率過低、樹齡老化、管理粗放、管理技術不足及單位面積經濟效益不佳等諸多問題，嚴重影響油茶產業的長遠發展。故考慮新植</w:t>
      </w:r>
      <w:r w:rsidRPr="006A0372">
        <w:rPr>
          <w:rFonts w:ascii="標楷體" w:eastAsia="標楷體" w:hAnsi="標楷體" w:cs="Times New Roman" w:hint="eastAsia"/>
        </w:rPr>
        <w:t>油茶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時，要</w:t>
      </w:r>
      <w:r w:rsidRPr="006A0372">
        <w:rPr>
          <w:rFonts w:ascii="標楷體" w:eastAsia="標楷體" w:hAnsi="標楷體" w:cs="DFKaiShu-SB-Estd-BF" w:hint="eastAsia"/>
          <w:kern w:val="0"/>
          <w:szCs w:val="24"/>
        </w:rPr>
        <w:t>特別注意油茶之品種、種苗來源、種苗類型，以克服</w:t>
      </w:r>
      <w:proofErr w:type="gramStart"/>
      <w:r w:rsidRPr="006A0372">
        <w:rPr>
          <w:rFonts w:ascii="標楷體" w:eastAsia="標楷體" w:hAnsi="標楷體" w:cs="DFKaiShu-SB-Estd-BF" w:hint="eastAsia"/>
          <w:kern w:val="0"/>
          <w:szCs w:val="24"/>
        </w:rPr>
        <w:t>服</w:t>
      </w:r>
      <w:proofErr w:type="gramEnd"/>
      <w:r w:rsidRPr="006A0372">
        <w:rPr>
          <w:rFonts w:ascii="標楷體" w:eastAsia="標楷體" w:hAnsi="標楷體" w:cs="DFKaiShu-SB-Estd-BF" w:hint="eastAsia"/>
          <w:kern w:val="0"/>
          <w:szCs w:val="24"/>
        </w:rPr>
        <w:t>豐產植株偏少的問題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。種苗為農業之母，種苗的優劣與油茶生產有密切關係，選擇適地適種的品種及種苗類型為栽植油茶成功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的首步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。種苗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繁殖</w:t>
      </w:r>
      <w:r w:rsidRPr="006A0372">
        <w:rPr>
          <w:rFonts w:ascii="標楷體" w:eastAsia="標楷體" w:hAnsi="標楷體" w:cs="細明體"/>
          <w:kern w:val="0"/>
          <w:szCs w:val="24"/>
        </w:rPr>
        <w:t>類型可分為實生苗</w:t>
      </w:r>
      <w:r w:rsidR="000125D3" w:rsidRPr="006A0372">
        <w:rPr>
          <w:rFonts w:ascii="標楷體" w:eastAsia="標楷體" w:hAnsi="標楷體" w:cs="細明體"/>
          <w:kern w:val="0"/>
          <w:szCs w:val="24"/>
        </w:rPr>
        <w:t>、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扦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插苗及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嫁接苗三大類，</w:t>
      </w:r>
      <w:r w:rsidR="00FD0E5E" w:rsidRPr="006A0372">
        <w:rPr>
          <w:rFonts w:ascii="標楷體" w:eastAsia="標楷體" w:hAnsi="標楷體" w:cs="細明體" w:hint="eastAsia"/>
        </w:rPr>
        <w:t>國內</w:t>
      </w:r>
      <w:r w:rsidR="000125D3" w:rsidRPr="006A0372">
        <w:rPr>
          <w:rFonts w:ascii="標楷體" w:eastAsia="標楷體" w:hAnsi="標楷體" w:hint="eastAsia"/>
        </w:rPr>
        <w:t>種苗供應量最大的仍以實生苗為主，但栽培實生苗所產生的單株變異很大，無法保證具有豐產等特性。</w:t>
      </w:r>
      <w:proofErr w:type="gramStart"/>
      <w:r w:rsidR="000125D3" w:rsidRPr="006A0372">
        <w:rPr>
          <w:rFonts w:ascii="標楷體" w:eastAsia="標楷體" w:hAnsi="標楷體" w:hint="eastAsia"/>
        </w:rPr>
        <w:t>扦插苗</w:t>
      </w:r>
      <w:r w:rsidR="00E04CC9">
        <w:rPr>
          <w:rFonts w:ascii="標楷體" w:eastAsia="標楷體" w:hAnsi="標楷體" w:hint="eastAsia"/>
        </w:rPr>
        <w:t>則</w:t>
      </w:r>
      <w:proofErr w:type="gramEnd"/>
      <w:r w:rsidR="00D948AA" w:rsidRPr="006A0372">
        <w:rPr>
          <w:rFonts w:ascii="標楷體" w:eastAsia="標楷體" w:hAnsi="標楷體" w:cs="Arial"/>
          <w:color w:val="212121"/>
          <w:shd w:val="clear" w:color="auto" w:fill="FFFFFF"/>
        </w:rPr>
        <w:t>能保存母本植株的優良性狀，且扦插繁殖比嫁接繁殖簡單易行，繁殖快速，成苗快，育苗成本較低等優點</w:t>
      </w:r>
      <w:r w:rsidR="00B56093" w:rsidRPr="006A0372">
        <w:rPr>
          <w:rFonts w:ascii="標楷體" w:eastAsia="標楷體" w:hAnsi="標楷體" w:hint="eastAsia"/>
        </w:rPr>
        <w:t>。故</w:t>
      </w:r>
      <w:r w:rsidR="00B56093" w:rsidRPr="006A0372">
        <w:rPr>
          <w:rFonts w:ascii="標楷體" w:eastAsia="標楷體" w:hAnsi="標楷體" w:cs="細明體"/>
          <w:kern w:val="0"/>
          <w:szCs w:val="24"/>
        </w:rPr>
        <w:t>台灣油茶</w:t>
      </w:r>
      <w:r w:rsidR="00B56093" w:rsidRPr="006A0372">
        <w:rPr>
          <w:rFonts w:ascii="標楷體" w:eastAsia="標楷體" w:hAnsi="標楷體" w:cs="細明體" w:hint="eastAsia"/>
          <w:kern w:val="0"/>
          <w:szCs w:val="24"/>
        </w:rPr>
        <w:t>育苗</w:t>
      </w:r>
      <w:r w:rsidR="00B56093" w:rsidRPr="006A0372">
        <w:rPr>
          <w:rFonts w:ascii="標楷體" w:eastAsia="標楷體" w:hAnsi="標楷體" w:cs="細明體"/>
          <w:kern w:val="0"/>
          <w:szCs w:val="24"/>
        </w:rPr>
        <w:t>以實生苗及</w:t>
      </w:r>
      <w:proofErr w:type="gramStart"/>
      <w:r w:rsidR="00B56093" w:rsidRPr="006A0372">
        <w:rPr>
          <w:rFonts w:ascii="標楷體" w:eastAsia="標楷體" w:hAnsi="標楷體" w:cs="細明體"/>
          <w:kern w:val="0"/>
          <w:szCs w:val="24"/>
        </w:rPr>
        <w:t>扦插苗為主</w:t>
      </w:r>
      <w:proofErr w:type="gramEnd"/>
      <w:r w:rsidR="00B56093" w:rsidRPr="006A0372">
        <w:rPr>
          <w:rFonts w:ascii="標楷體" w:eastAsia="標楷體" w:hAnsi="標楷體" w:cs="細明體"/>
          <w:kern w:val="0"/>
          <w:szCs w:val="24"/>
        </w:rPr>
        <w:t>，</w:t>
      </w:r>
      <w:proofErr w:type="gramStart"/>
      <w:r w:rsidR="00B56093" w:rsidRPr="006A0372">
        <w:rPr>
          <w:rFonts w:ascii="標楷體" w:eastAsia="標楷體" w:hAnsi="標楷體" w:cs="細明體"/>
          <w:kern w:val="0"/>
          <w:szCs w:val="24"/>
        </w:rPr>
        <w:t>嫁接苗</w:t>
      </w:r>
      <w:r w:rsidR="00B56093" w:rsidRPr="006A0372">
        <w:rPr>
          <w:rFonts w:ascii="標楷體" w:eastAsia="標楷體" w:hAnsi="標楷體" w:cs="細明體" w:hint="eastAsia"/>
          <w:kern w:val="0"/>
          <w:szCs w:val="24"/>
        </w:rPr>
        <w:t>較少</w:t>
      </w:r>
      <w:proofErr w:type="gramEnd"/>
      <w:r w:rsidR="00B56093" w:rsidRPr="006A0372">
        <w:rPr>
          <w:rFonts w:ascii="標楷體" w:eastAsia="標楷體" w:hAnsi="標楷體" w:cs="細明體" w:hint="eastAsia"/>
          <w:kern w:val="0"/>
          <w:szCs w:val="24"/>
        </w:rPr>
        <w:t>生產</w:t>
      </w:r>
      <w:r w:rsidR="000125D3" w:rsidRPr="006A0372">
        <w:rPr>
          <w:rFonts w:ascii="標楷體" w:eastAsia="標楷體" w:hAnsi="標楷體" w:hint="eastAsia"/>
        </w:rPr>
        <w:t>，可知嫁接苗在國內並未普級化。</w:t>
      </w:r>
      <w:r w:rsidRPr="006A0372">
        <w:rPr>
          <w:rFonts w:ascii="標楷體" w:eastAsia="標楷體" w:hAnsi="標楷體" w:cs="細明體"/>
          <w:kern w:val="0"/>
          <w:szCs w:val="24"/>
        </w:rPr>
        <w:t>中國大陸</w:t>
      </w:r>
      <w:r w:rsidR="007E2634">
        <w:rPr>
          <w:rFonts w:ascii="標楷體" w:eastAsia="標楷體" w:hAnsi="標楷體" w:cs="細明體"/>
          <w:kern w:val="0"/>
          <w:szCs w:val="24"/>
        </w:rPr>
        <w:t>的</w:t>
      </w:r>
      <w:proofErr w:type="gramStart"/>
      <w:r w:rsidR="007E2634">
        <w:rPr>
          <w:rFonts w:ascii="標楷體" w:eastAsia="標楷體" w:hAnsi="標楷體" w:cs="細明體"/>
          <w:kern w:val="0"/>
          <w:szCs w:val="24"/>
        </w:rPr>
        <w:t>油茶苗</w:t>
      </w:r>
      <w:r w:rsidR="007E2634">
        <w:rPr>
          <w:rFonts w:ascii="標楷體" w:eastAsia="標楷體" w:hAnsi="標楷體" w:cs="細明體" w:hint="eastAsia"/>
          <w:kern w:val="0"/>
          <w:szCs w:val="24"/>
        </w:rPr>
        <w:t>以</w:t>
      </w:r>
      <w:r w:rsidRPr="006A0372">
        <w:rPr>
          <w:rFonts w:ascii="標楷體" w:eastAsia="標楷體" w:hAnsi="標楷體" w:cs="細明體"/>
          <w:kern w:val="0"/>
          <w:szCs w:val="24"/>
        </w:rPr>
        <w:t>嫁接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苗生產</w:t>
      </w:r>
      <w:r w:rsidR="007E2634">
        <w:rPr>
          <w:rFonts w:ascii="標楷體" w:eastAsia="標楷體" w:hAnsi="標楷體" w:cs="細明體"/>
          <w:kern w:val="0"/>
          <w:szCs w:val="24"/>
        </w:rPr>
        <w:t>為主流</w:t>
      </w:r>
      <w:r w:rsidRPr="006A0372">
        <w:rPr>
          <w:rFonts w:ascii="標楷體" w:eastAsia="標楷體" w:hAnsi="標楷體" w:cs="細明體"/>
          <w:kern w:val="0"/>
          <w:szCs w:val="24"/>
        </w:rPr>
        <w:t>，尤其以胚軸嫁接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(芽苗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)</w:t>
      </w:r>
      <w:r w:rsidRPr="006A0372">
        <w:rPr>
          <w:rFonts w:ascii="標楷體" w:eastAsia="標楷體" w:hAnsi="標楷體" w:cs="細明體"/>
          <w:kern w:val="0"/>
          <w:szCs w:val="24"/>
        </w:rPr>
        <w:t>育苗方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式量化生產</w:t>
      </w:r>
      <w:r w:rsidR="007E2634">
        <w:rPr>
          <w:rFonts w:ascii="標楷體" w:eastAsia="標楷體" w:hAnsi="標楷體" w:cs="細明體" w:hint="eastAsia"/>
        </w:rPr>
        <w:t>。本文以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胚軸嫁接及</w:t>
      </w:r>
      <w:r w:rsidR="007E2634">
        <w:rPr>
          <w:rFonts w:ascii="標楷體" w:eastAsia="標楷體" w:hAnsi="標楷體" w:cs="細明體" w:hint="eastAsia"/>
          <w:kern w:val="0"/>
          <w:szCs w:val="24"/>
        </w:rPr>
        <w:t>小苗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嫁接</w:t>
      </w:r>
      <w:r w:rsidR="007E2634">
        <w:rPr>
          <w:rFonts w:ascii="標楷體" w:eastAsia="標楷體" w:hAnsi="標楷體" w:cs="細明體" w:hint="eastAsia"/>
          <w:kern w:val="0"/>
          <w:szCs w:val="24"/>
        </w:rPr>
        <w:t>(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一</w:t>
      </w:r>
      <w:r w:rsidR="007E2634">
        <w:rPr>
          <w:rFonts w:ascii="標楷體" w:eastAsia="標楷體" w:hAnsi="標楷體" w:cs="細明體" w:hint="eastAsia"/>
          <w:kern w:val="0"/>
          <w:szCs w:val="24"/>
        </w:rPr>
        <w:t>、二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年生實生苗</w:t>
      </w:r>
      <w:r w:rsidR="007E2634">
        <w:rPr>
          <w:rFonts w:ascii="標楷體" w:eastAsia="標楷體" w:hAnsi="標楷體" w:cs="細明體" w:hint="eastAsia"/>
          <w:kern w:val="0"/>
          <w:szCs w:val="24"/>
        </w:rPr>
        <w:t>砧木)技術介紹，供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嫁接苗</w:t>
      </w:r>
      <w:r w:rsidR="007E2634">
        <w:rPr>
          <w:rFonts w:ascii="標楷體" w:eastAsia="標楷體" w:hAnsi="標楷體" w:cs="細明體" w:hint="eastAsia"/>
          <w:kern w:val="0"/>
          <w:szCs w:val="24"/>
        </w:rPr>
        <w:t>生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產</w:t>
      </w:r>
      <w:r w:rsidR="007E2634">
        <w:rPr>
          <w:rFonts w:ascii="標楷體" w:eastAsia="標楷體" w:hAnsi="標楷體" w:cs="細明體" w:hint="eastAsia"/>
          <w:kern w:val="0"/>
          <w:szCs w:val="24"/>
        </w:rPr>
        <w:t>之參考</w:t>
      </w:r>
      <w:r w:rsidR="007E2634" w:rsidRPr="00D603DD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7E2634" w:rsidRDefault="007E2634" w:rsidP="00C80151">
      <w:pPr>
        <w:ind w:firstLineChars="177" w:firstLine="425"/>
        <w:jc w:val="center"/>
        <w:rPr>
          <w:rFonts w:ascii="標楷體" w:eastAsia="標楷體" w:hAnsi="標楷體" w:cs="細明體"/>
          <w:kern w:val="0"/>
          <w:szCs w:val="24"/>
        </w:rPr>
      </w:pPr>
    </w:p>
    <w:p w:rsidR="00C80151" w:rsidRPr="007E2634" w:rsidRDefault="00C80151" w:rsidP="00C80151">
      <w:pPr>
        <w:ind w:firstLineChars="177" w:firstLine="425"/>
        <w:jc w:val="center"/>
        <w:rPr>
          <w:rFonts w:ascii="標楷體" w:eastAsia="標楷體" w:hAnsi="標楷體" w:cs="細明體"/>
          <w:b/>
          <w:kern w:val="0"/>
          <w:szCs w:val="24"/>
        </w:rPr>
      </w:pPr>
      <w:r w:rsidRPr="007E2634">
        <w:rPr>
          <w:rFonts w:ascii="標楷體" w:eastAsia="標楷體" w:hAnsi="標楷體" w:cs="細明體"/>
          <w:b/>
          <w:kern w:val="0"/>
          <w:szCs w:val="24"/>
        </w:rPr>
        <w:t>嫁接苗</w:t>
      </w:r>
      <w:r w:rsidR="00B56093" w:rsidRPr="007E2634">
        <w:rPr>
          <w:rFonts w:ascii="標楷體" w:eastAsia="標楷體" w:hAnsi="標楷體" w:cs="細明體"/>
          <w:b/>
          <w:kern w:val="0"/>
          <w:szCs w:val="24"/>
        </w:rPr>
        <w:t>繁殖方法</w:t>
      </w:r>
    </w:p>
    <w:p w:rsidR="00D948AA" w:rsidRPr="006A0372" w:rsidRDefault="006A0372" w:rsidP="004011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color w:val="212121"/>
          <w:kern w:val="0"/>
          <w:szCs w:val="24"/>
        </w:rPr>
      </w:pPr>
      <w:r>
        <w:rPr>
          <w:rFonts w:ascii="標楷體" w:eastAsia="標楷體" w:hAnsi="標楷體" w:cs="細明體"/>
          <w:kern w:val="0"/>
          <w:szCs w:val="24"/>
        </w:rPr>
        <w:t>油茶</w:t>
      </w:r>
      <w:r w:rsidR="00401189" w:rsidRPr="006A0372">
        <w:rPr>
          <w:rFonts w:ascii="標楷體" w:eastAsia="標楷體" w:hAnsi="標楷體" w:cs="細明體"/>
          <w:kern w:val="0"/>
          <w:szCs w:val="24"/>
        </w:rPr>
        <w:t>嫁接苗</w:t>
      </w:r>
      <w:r>
        <w:rPr>
          <w:rFonts w:ascii="標楷體" w:eastAsia="標楷體" w:hAnsi="標楷體" w:cs="細明體"/>
          <w:kern w:val="0"/>
          <w:szCs w:val="24"/>
        </w:rPr>
        <w:t>生產</w:t>
      </w:r>
      <w:r w:rsidR="00401189" w:rsidRPr="006A0372">
        <w:rPr>
          <w:rFonts w:ascii="標楷體" w:eastAsia="標楷體" w:hAnsi="標楷體" w:cs="細明體"/>
          <w:kern w:val="0"/>
          <w:szCs w:val="24"/>
        </w:rPr>
        <w:t>可分為砧木培育、接穗來</w:t>
      </w:r>
      <w:r w:rsidR="00401189" w:rsidRPr="006A0372">
        <w:rPr>
          <w:rFonts w:ascii="標楷體" w:eastAsia="標楷體" w:hAnsi="標楷體" w:cs="細明體" w:hint="eastAsia"/>
          <w:kern w:val="0"/>
          <w:szCs w:val="24"/>
        </w:rPr>
        <w:t>源</w:t>
      </w:r>
      <w:r w:rsidR="00401189" w:rsidRPr="006A0372">
        <w:rPr>
          <w:rFonts w:ascii="標楷體" w:eastAsia="標楷體" w:hAnsi="標楷體" w:cs="細明體"/>
          <w:kern w:val="0"/>
          <w:szCs w:val="24"/>
        </w:rPr>
        <w:t>與</w:t>
      </w:r>
      <w:proofErr w:type="gramStart"/>
      <w:r w:rsidR="00401189" w:rsidRPr="006A0372">
        <w:rPr>
          <w:rFonts w:ascii="標楷體" w:eastAsia="標楷體" w:hAnsi="標楷體" w:cs="細明體"/>
          <w:kern w:val="0"/>
          <w:szCs w:val="24"/>
        </w:rPr>
        <w:t>採</w:t>
      </w:r>
      <w:proofErr w:type="gramEnd"/>
      <w:r w:rsidR="00401189" w:rsidRPr="006A0372">
        <w:rPr>
          <w:rFonts w:ascii="標楷體" w:eastAsia="標楷體" w:hAnsi="標楷體" w:cs="細明體"/>
          <w:kern w:val="0"/>
          <w:szCs w:val="24"/>
        </w:rPr>
        <w:t>穗作業、嫁接方法與作業、</w:t>
      </w:r>
      <w:r w:rsidR="00401189" w:rsidRPr="006A0372">
        <w:rPr>
          <w:rFonts w:ascii="標楷體" w:eastAsia="標楷體" w:hAnsi="標楷體" w:cs="細明體" w:hint="eastAsia"/>
          <w:kern w:val="0"/>
          <w:szCs w:val="24"/>
        </w:rPr>
        <w:t>嫁接苗管理及</w:t>
      </w:r>
      <w:r w:rsidR="00401189" w:rsidRPr="006A0372">
        <w:rPr>
          <w:rFonts w:ascii="標楷體" w:eastAsia="標楷體" w:hAnsi="標楷體" w:hint="eastAsia"/>
          <w:kern w:val="0"/>
          <w:szCs w:val="24"/>
        </w:rPr>
        <w:t>病害防治等，</w:t>
      </w:r>
      <w:r w:rsidR="00401189" w:rsidRPr="006A0372">
        <w:rPr>
          <w:rFonts w:ascii="標楷體" w:eastAsia="標楷體" w:hAnsi="標楷體" w:hint="eastAsia"/>
          <w:sz w:val="23"/>
          <w:szCs w:val="23"/>
          <w:shd w:val="clear" w:color="auto" w:fill="FFFFFF"/>
        </w:rPr>
        <w:t>培育方法分述如下：</w:t>
      </w:r>
    </w:p>
    <w:p w:rsidR="00401189" w:rsidRPr="006A0372" w:rsidRDefault="00401189" w:rsidP="0040118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砧木培育：</w:t>
      </w:r>
    </w:p>
    <w:p w:rsidR="00401189" w:rsidRPr="006A0372" w:rsidRDefault="003F42D5" w:rsidP="003F42D5">
      <w:pPr>
        <w:pStyle w:val="a3"/>
        <w:ind w:leftChars="0" w:left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>(</w:t>
      </w:r>
      <w:proofErr w:type="gramStart"/>
      <w:r>
        <w:rPr>
          <w:rFonts w:ascii="標楷體" w:eastAsia="標楷體" w:hAnsi="標楷體" w:cs="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細明體" w:hint="eastAsia"/>
          <w:kern w:val="0"/>
          <w:szCs w:val="24"/>
        </w:rPr>
        <w:t>)</w:t>
      </w:r>
      <w:r w:rsidR="00401189" w:rsidRPr="006A0372">
        <w:rPr>
          <w:rFonts w:ascii="標楷體" w:eastAsia="標楷體" w:hAnsi="標楷體" w:cs="細明體" w:hint="eastAsia"/>
          <w:kern w:val="0"/>
          <w:szCs w:val="24"/>
        </w:rPr>
        <w:t>種子篩選及貯藏：</w:t>
      </w:r>
    </w:p>
    <w:p w:rsidR="00401189" w:rsidRPr="006A0372" w:rsidRDefault="00401189" w:rsidP="00401189">
      <w:pPr>
        <w:pStyle w:val="a3"/>
        <w:ind w:leftChars="-2" w:left="-5" w:firstLineChars="179" w:firstLine="43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油茶種子為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異貯型種子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，容易失去活力，需要進行適當的保存，確保發芽。供作砧木育苗用的種子必須在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採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收後挑選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籽粒大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且飽滿的種子，因營養充足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足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供砧木苗生長良好、根系旺盛。種子宜放置於0-5℃冷藏庫保存，種子活力隨時間增加而遞減，故最好於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一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年內播種，以確保砧木養成率。油茶種子除了不耐貯藏外，其亦有休眠性，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濕冷層積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1-2個月的方法可順利打破休眠而發芽。</w:t>
      </w:r>
    </w:p>
    <w:p w:rsidR="007F4E2A" w:rsidRPr="003F42D5" w:rsidRDefault="003F42D5" w:rsidP="003F42D5">
      <w:pPr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>(二)</w:t>
      </w:r>
      <w:r w:rsidR="007F4E2A" w:rsidRPr="003F42D5">
        <w:rPr>
          <w:rFonts w:ascii="標楷體" w:eastAsia="標楷體" w:hAnsi="標楷體" w:cs="細明體" w:hint="eastAsia"/>
          <w:kern w:val="0"/>
          <w:szCs w:val="24"/>
        </w:rPr>
        <w:t>種子催芽及苗床建置</w:t>
      </w:r>
    </w:p>
    <w:p w:rsidR="007F4E2A" w:rsidRPr="006A0372" w:rsidRDefault="007F4E2A" w:rsidP="007F4E2A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胚軸嫁接的砧木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播種期選在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春季為宜，播種前要將冷藏的種子取出，進行種子殺菌作業，建議以植物保護手冊推薦之種子殺菌劑處理，放置殺菌液中進行揀選，將浮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上液面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的種子予以剔除。催芽苗床的建置，可選擇排水良好的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平坦田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區上堆置乾淨的河沙，再把種子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均勻撒布在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床面上，種子盡量不要重疊，讓其有生長的空間，並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將床面覆沙整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平即完成種子播種作業。之後均勻灑水並使苗床保持濕度，有利於種子萌發，待種子發根萌芽後則可取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="00F121FA" w:rsidRPr="006A0372">
        <w:rPr>
          <w:rFonts w:ascii="標楷體" w:eastAsia="標楷體" w:hAnsi="標楷體" w:cs="細明體" w:hint="eastAsia"/>
          <w:kern w:val="0"/>
          <w:szCs w:val="24"/>
        </w:rPr>
        <w:t>供作胚軸嫁接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利用或移至容器</w:t>
      </w:r>
      <w:r w:rsidR="00DB49F5">
        <w:rPr>
          <w:rFonts w:ascii="標楷體" w:eastAsia="標楷體" w:hAnsi="標楷體" w:cs="細明體" w:hint="eastAsia"/>
          <w:kern w:val="0"/>
          <w:szCs w:val="24"/>
        </w:rPr>
        <w:t>再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栽培</w:t>
      </w:r>
      <w:r w:rsidR="00F121FA" w:rsidRPr="006A0372">
        <w:rPr>
          <w:rFonts w:ascii="標楷體" w:eastAsia="標楷體" w:hAnsi="標楷體" w:cs="細明體" w:hint="eastAsia"/>
          <w:kern w:val="0"/>
          <w:szCs w:val="24"/>
        </w:rPr>
        <w:t>1-2年的實生苗等</w:t>
      </w:r>
      <w:r w:rsidR="00D04B7F" w:rsidRPr="006A0372">
        <w:rPr>
          <w:rFonts w:ascii="標楷體" w:eastAsia="標楷體" w:hAnsi="標楷體" w:cs="細明體" w:hint="eastAsia"/>
          <w:kern w:val="0"/>
          <w:szCs w:val="24"/>
        </w:rPr>
        <w:t>供為嫁接砧木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7F4E2A" w:rsidRPr="006A0372" w:rsidRDefault="007F4E2A" w:rsidP="007F4E2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接穗來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源</w:t>
      </w:r>
      <w:r w:rsidRPr="006A0372">
        <w:rPr>
          <w:rFonts w:ascii="標楷體" w:eastAsia="標楷體" w:hAnsi="標楷體" w:cs="細明體"/>
          <w:kern w:val="0"/>
          <w:szCs w:val="24"/>
        </w:rPr>
        <w:t>及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穗作業</w:t>
      </w:r>
    </w:p>
    <w:p w:rsidR="007F4E2A" w:rsidRPr="006A0372" w:rsidRDefault="007F4E2A" w:rsidP="007F4E2A">
      <w:pPr>
        <w:pStyle w:val="a3"/>
        <w:autoSpaceDE w:val="0"/>
        <w:autoSpaceDN w:val="0"/>
        <w:adjustRightInd w:val="0"/>
        <w:ind w:leftChars="0" w:left="0" w:firstLineChars="177" w:firstLine="425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優良</w:t>
      </w:r>
      <w:r w:rsidR="00E04CC9">
        <w:rPr>
          <w:rFonts w:ascii="標楷體" w:eastAsia="標楷體" w:hAnsi="標楷體" w:cs="細明體"/>
          <w:kern w:val="0"/>
          <w:szCs w:val="24"/>
        </w:rPr>
        <w:t>油茶品種是保證油茶豐產、穩定生產的前提和基礎</w:t>
      </w:r>
      <w:r w:rsidRPr="006A0372">
        <w:rPr>
          <w:rFonts w:ascii="標楷體" w:eastAsia="標楷體" w:hAnsi="標楷體" w:cs="細明體"/>
          <w:kern w:val="0"/>
          <w:szCs w:val="24"/>
        </w:rPr>
        <w:t>。台灣目前以實生苗</w:t>
      </w:r>
      <w:r w:rsidRPr="006A0372">
        <w:rPr>
          <w:rFonts w:ascii="標楷體" w:eastAsia="標楷體" w:hAnsi="標楷體" w:cs="細明體"/>
          <w:kern w:val="0"/>
          <w:szCs w:val="24"/>
        </w:rPr>
        <w:lastRenderedPageBreak/>
        <w:t>繁殖為主，種苗來源及品質良莠不齊，影響產業甚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鉅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。發展油茶產業，必須掌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握</w:t>
      </w:r>
      <w:r w:rsidRPr="006A0372">
        <w:rPr>
          <w:rFonts w:ascii="標楷體" w:eastAsia="標楷體" w:hAnsi="標楷體" w:cs="細明體"/>
          <w:kern w:val="0"/>
          <w:szCs w:val="24"/>
        </w:rPr>
        <w:t>穩產而油質優良的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採穗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母株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，並採用無性繁殖技術，方能保有整齊一致的種苗</w:t>
      </w:r>
      <w:r w:rsidRPr="006A0372">
        <w:rPr>
          <w:rFonts w:ascii="標楷體" w:eastAsia="標楷體" w:hAnsi="標楷體" w:cs="細明體"/>
          <w:kern w:val="0"/>
          <w:szCs w:val="24"/>
        </w:rPr>
        <w:t>，故篩選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採穗母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株至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關重要，可由自家植株篩選或其他來源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優良母株進行採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穗，</w:t>
      </w:r>
      <w:r w:rsidRPr="006A0372">
        <w:rPr>
          <w:rFonts w:ascii="標楷體" w:eastAsia="標楷體" w:hAnsi="標楷體" w:cs="細明體"/>
          <w:kern w:val="0"/>
          <w:szCs w:val="24"/>
        </w:rPr>
        <w:t>通常以達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8年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以上</w:t>
      </w:r>
      <w:r w:rsidRPr="006A0372">
        <w:rPr>
          <w:rFonts w:ascii="標楷體" w:eastAsia="標楷體" w:hAnsi="標楷體" w:cs="細明體"/>
          <w:kern w:val="0"/>
          <w:szCs w:val="24"/>
        </w:rPr>
        <w:t>熟產的株齡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植株，篩選高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產且生長勢佳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的單株，再經2-3年評估具產量穩定、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鮮出籽率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高、病蟲害發生率低、果實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易剝性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、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出油率高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、單株產量可達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25</w:t>
      </w:r>
      <w:r w:rsidRPr="006A0372">
        <w:rPr>
          <w:rFonts w:ascii="標楷體" w:eastAsia="標楷體" w:hAnsi="標楷體" w:cs="細明體"/>
          <w:kern w:val="0"/>
          <w:szCs w:val="24"/>
        </w:rPr>
        <w:t>公斤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(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大果種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)</w:t>
      </w:r>
      <w:r w:rsidRPr="006A0372">
        <w:rPr>
          <w:rFonts w:ascii="標楷體" w:eastAsia="標楷體" w:hAnsi="標楷體" w:cs="細明體"/>
          <w:kern w:val="0"/>
          <w:szCs w:val="24"/>
        </w:rPr>
        <w:t>以上者，可供為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採穗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母株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。為採取量多的接穗，前一年的養水分必須供應足夠，以備來年可得到芽體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飽滿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及芽數多的穗條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，方可於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5月份穗條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處於半木質化程度時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採穗並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進行胚軸嫁接繁殖。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採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穗時間最好於早上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10時以前完成，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採穗量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依據每天需用量而定。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採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穗時以樹冠中上層光照充足、粗壯飽滿且無病蟲害的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當年生半木質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化新梢為主</w:t>
      </w:r>
      <w:r w:rsidR="00BC4EAE" w:rsidRPr="006A0372">
        <w:rPr>
          <w:rFonts w:ascii="標楷體" w:eastAsia="標楷體" w:hAnsi="標楷體" w:cs="細明體" w:hint="eastAsia"/>
          <w:kern w:val="0"/>
          <w:szCs w:val="24"/>
        </w:rPr>
        <w:t>並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以當天現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採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現切之接穗為佳。</w:t>
      </w:r>
    </w:p>
    <w:sectPr w:rsidR="007F4E2A" w:rsidRPr="006A0372" w:rsidSect="002A1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A4" w:rsidRDefault="009901A4" w:rsidP="00652C91">
      <w:r>
        <w:separator/>
      </w:r>
    </w:p>
  </w:endnote>
  <w:endnote w:type="continuationSeparator" w:id="0">
    <w:p w:rsidR="009901A4" w:rsidRDefault="009901A4" w:rsidP="00652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A4" w:rsidRDefault="009901A4" w:rsidP="00652C91">
      <w:r>
        <w:separator/>
      </w:r>
    </w:p>
  </w:footnote>
  <w:footnote w:type="continuationSeparator" w:id="0">
    <w:p w:rsidR="009901A4" w:rsidRDefault="009901A4" w:rsidP="00652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D02"/>
    <w:multiLevelType w:val="hybridMultilevel"/>
    <w:tmpl w:val="CEFAC4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14FA3"/>
    <w:multiLevelType w:val="hybridMultilevel"/>
    <w:tmpl w:val="CDE8F410"/>
    <w:lvl w:ilvl="0" w:tplc="0EC269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51"/>
    <w:rsid w:val="000125D3"/>
    <w:rsid w:val="00075639"/>
    <w:rsid w:val="00102E21"/>
    <w:rsid w:val="002827DC"/>
    <w:rsid w:val="002A1B17"/>
    <w:rsid w:val="00336E18"/>
    <w:rsid w:val="003F42D5"/>
    <w:rsid w:val="00401189"/>
    <w:rsid w:val="00443ED1"/>
    <w:rsid w:val="0045591D"/>
    <w:rsid w:val="00476D16"/>
    <w:rsid w:val="00557255"/>
    <w:rsid w:val="005F25D7"/>
    <w:rsid w:val="00652C91"/>
    <w:rsid w:val="006A0372"/>
    <w:rsid w:val="006E0A2E"/>
    <w:rsid w:val="00703679"/>
    <w:rsid w:val="007200B3"/>
    <w:rsid w:val="007E2634"/>
    <w:rsid w:val="007F4E2A"/>
    <w:rsid w:val="00820EA3"/>
    <w:rsid w:val="008810FB"/>
    <w:rsid w:val="009901A4"/>
    <w:rsid w:val="00A3606C"/>
    <w:rsid w:val="00B56093"/>
    <w:rsid w:val="00B640F0"/>
    <w:rsid w:val="00BC4EAE"/>
    <w:rsid w:val="00BD1E77"/>
    <w:rsid w:val="00C55ABC"/>
    <w:rsid w:val="00C80151"/>
    <w:rsid w:val="00C83098"/>
    <w:rsid w:val="00C871D1"/>
    <w:rsid w:val="00D04B7F"/>
    <w:rsid w:val="00D14E26"/>
    <w:rsid w:val="00D948AA"/>
    <w:rsid w:val="00DB49F5"/>
    <w:rsid w:val="00DD6E1C"/>
    <w:rsid w:val="00E04CC9"/>
    <w:rsid w:val="00F121FA"/>
    <w:rsid w:val="00FA5238"/>
    <w:rsid w:val="00FC6108"/>
    <w:rsid w:val="00FD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15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52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52C9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52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52C91"/>
    <w:rPr>
      <w:sz w:val="20"/>
      <w:szCs w:val="20"/>
    </w:rPr>
  </w:style>
  <w:style w:type="paragraph" w:customStyle="1" w:styleId="Default">
    <w:name w:val="Default"/>
    <w:rsid w:val="000125D3"/>
    <w:pPr>
      <w:widowControl w:val="0"/>
      <w:autoSpaceDE w:val="0"/>
      <w:autoSpaceDN w:val="0"/>
      <w:adjustRightInd w:val="0"/>
    </w:pPr>
    <w:rPr>
      <w:rFonts w:ascii="PMingLiu" w:eastAsia="新細明體" w:hAnsi="PMingLiu" w:cs="PMingLiu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121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121FA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0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07883-884E-4855-B69F-56FE9686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iflo88</dc:creator>
  <cp:lastModifiedBy>iflo88</cp:lastModifiedBy>
  <cp:revision>3</cp:revision>
  <dcterms:created xsi:type="dcterms:W3CDTF">2023-11-30T08:39:00Z</dcterms:created>
  <dcterms:modified xsi:type="dcterms:W3CDTF">2023-11-30T08:39:00Z</dcterms:modified>
</cp:coreProperties>
</file>