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151" w:rsidRPr="006A0372" w:rsidRDefault="00C80151" w:rsidP="00C80151">
      <w:pPr>
        <w:jc w:val="center"/>
        <w:rPr>
          <w:rFonts w:ascii="標楷體" w:eastAsia="標楷體" w:hAnsi="標楷體" w:cs="細明體"/>
          <w:b/>
          <w:kern w:val="0"/>
          <w:sz w:val="28"/>
          <w:szCs w:val="28"/>
        </w:rPr>
      </w:pPr>
      <w:r w:rsidRPr="006A0372">
        <w:rPr>
          <w:rFonts w:ascii="標楷體" w:eastAsia="標楷體" w:hAnsi="標楷體" w:cs="細明體"/>
          <w:b/>
          <w:kern w:val="0"/>
          <w:sz w:val="28"/>
          <w:szCs w:val="28"/>
        </w:rPr>
        <w:t>油茶嫁接苗生產</w:t>
      </w:r>
      <w:r w:rsidR="00703679">
        <w:rPr>
          <w:rFonts w:ascii="標楷體" w:eastAsia="標楷體" w:hAnsi="標楷體" w:cs="細明體"/>
          <w:b/>
          <w:kern w:val="0"/>
          <w:sz w:val="28"/>
          <w:szCs w:val="28"/>
        </w:rPr>
        <w:t>（</w:t>
      </w:r>
      <w:r w:rsidR="00703679">
        <w:rPr>
          <w:rFonts w:ascii="標楷體" w:eastAsia="標楷體" w:hAnsi="標楷體" w:cs="細明體" w:hint="eastAsia"/>
          <w:b/>
          <w:kern w:val="0"/>
          <w:sz w:val="28"/>
          <w:szCs w:val="28"/>
        </w:rPr>
        <w:t>上</w:t>
      </w:r>
      <w:r w:rsidR="00703679">
        <w:rPr>
          <w:rFonts w:ascii="標楷體" w:eastAsia="標楷體" w:hAnsi="標楷體" w:cs="細明體"/>
          <w:b/>
          <w:kern w:val="0"/>
          <w:sz w:val="28"/>
          <w:szCs w:val="28"/>
        </w:rPr>
        <w:t>）</w:t>
      </w:r>
    </w:p>
    <w:p w:rsidR="00C80151" w:rsidRPr="006A0372" w:rsidRDefault="00C80151" w:rsidP="00C80151">
      <w:pPr>
        <w:pStyle w:val="a3"/>
        <w:ind w:leftChars="0"/>
        <w:jc w:val="center"/>
        <w:rPr>
          <w:rFonts w:ascii="標楷體" w:eastAsia="標楷體" w:hAnsi="標楷體" w:cs="細明體"/>
          <w:b/>
          <w:kern w:val="0"/>
          <w:szCs w:val="24"/>
        </w:rPr>
      </w:pPr>
      <w:r w:rsidRPr="006A0372">
        <w:rPr>
          <w:rFonts w:ascii="標楷體" w:eastAsia="標楷體" w:hAnsi="標楷體" w:cs="細明體"/>
          <w:b/>
          <w:kern w:val="0"/>
          <w:szCs w:val="24"/>
        </w:rPr>
        <w:t>前言</w:t>
      </w:r>
    </w:p>
    <w:p w:rsidR="007E2634" w:rsidRPr="00D603DD" w:rsidRDefault="00C80151" w:rsidP="00443ED1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 w:cs="細明體"/>
          <w:kern w:val="0"/>
          <w:szCs w:val="24"/>
        </w:rPr>
      </w:pPr>
      <w:r w:rsidRPr="006A0372">
        <w:rPr>
          <w:rFonts w:ascii="標楷體" w:eastAsia="標楷體" w:hAnsi="標楷體" w:cs="細明體"/>
          <w:kern w:val="0"/>
          <w:szCs w:val="24"/>
        </w:rPr>
        <w:t>油茶為重要的油料作物，具有適應性強、經營成本低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及</w:t>
      </w:r>
      <w:r w:rsidRPr="006A0372">
        <w:rPr>
          <w:rFonts w:ascii="標楷體" w:eastAsia="標楷體" w:hAnsi="標楷體" w:cs="細明體"/>
          <w:kern w:val="0"/>
          <w:szCs w:val="24"/>
        </w:rPr>
        <w:t>用途廣泛等特點，為優良的食用油並深受廣大消費者的喜愛，在市場上有很大的發展空間。</w:t>
      </w:r>
      <w:r w:rsidRPr="006A0372">
        <w:rPr>
          <w:rFonts w:ascii="標楷體" w:eastAsia="標楷體" w:hAnsi="標楷體" w:cs="DFKaiShu-SB-Estd-BF" w:hint="eastAsia"/>
          <w:kern w:val="0"/>
          <w:szCs w:val="24"/>
        </w:rPr>
        <w:t>但早期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種植的油茶因豐產植株比率過低、樹齡老化、管理粗放、管理技術不足及單位面積經濟效益不佳等諸多問題，嚴重影響油茶產業的長遠發展。故考慮新植</w:t>
      </w:r>
      <w:r w:rsidRPr="006A0372">
        <w:rPr>
          <w:rFonts w:ascii="標楷體" w:eastAsia="標楷體" w:hAnsi="標楷體" w:cs="Times New Roman" w:hint="eastAsia"/>
        </w:rPr>
        <w:t>油茶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時，要</w:t>
      </w:r>
      <w:r w:rsidRPr="006A0372">
        <w:rPr>
          <w:rFonts w:ascii="標楷體" w:eastAsia="標楷體" w:hAnsi="標楷體" w:cs="DFKaiShu-SB-Estd-BF" w:hint="eastAsia"/>
          <w:kern w:val="0"/>
          <w:szCs w:val="24"/>
        </w:rPr>
        <w:t>特別注意油茶之品種、種苗來源、種苗類型，以克服</w:t>
      </w:r>
      <w:proofErr w:type="gramStart"/>
      <w:r w:rsidRPr="006A0372">
        <w:rPr>
          <w:rFonts w:ascii="標楷體" w:eastAsia="標楷體" w:hAnsi="標楷體" w:cs="DFKaiShu-SB-Estd-BF" w:hint="eastAsia"/>
          <w:kern w:val="0"/>
          <w:szCs w:val="24"/>
        </w:rPr>
        <w:t>服</w:t>
      </w:r>
      <w:proofErr w:type="gramEnd"/>
      <w:r w:rsidRPr="006A0372">
        <w:rPr>
          <w:rFonts w:ascii="標楷體" w:eastAsia="標楷體" w:hAnsi="標楷體" w:cs="DFKaiShu-SB-Estd-BF" w:hint="eastAsia"/>
          <w:kern w:val="0"/>
          <w:szCs w:val="24"/>
        </w:rPr>
        <w:t>豐產植株偏少的問題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。種苗為農業之母，種苗的優劣與油茶生產有密切關係，選擇適地適種的品種及種苗類型為栽植油茶成功</w:t>
      </w:r>
      <w:proofErr w:type="gramStart"/>
      <w:r w:rsidRPr="006A0372">
        <w:rPr>
          <w:rFonts w:ascii="標楷體" w:eastAsia="標楷體" w:hAnsi="標楷體" w:cs="細明體" w:hint="eastAsia"/>
          <w:kern w:val="0"/>
          <w:szCs w:val="24"/>
        </w:rPr>
        <w:t>的首步</w:t>
      </w:r>
      <w:proofErr w:type="gramEnd"/>
      <w:r w:rsidRPr="006A0372">
        <w:rPr>
          <w:rFonts w:ascii="標楷體" w:eastAsia="標楷體" w:hAnsi="標楷體" w:cs="細明體"/>
          <w:kern w:val="0"/>
          <w:szCs w:val="24"/>
        </w:rPr>
        <w:t>。種苗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繁殖</w:t>
      </w:r>
      <w:r w:rsidRPr="006A0372">
        <w:rPr>
          <w:rFonts w:ascii="標楷體" w:eastAsia="標楷體" w:hAnsi="標楷體" w:cs="細明體"/>
          <w:kern w:val="0"/>
          <w:szCs w:val="24"/>
        </w:rPr>
        <w:t>類型可分為實生苗</w:t>
      </w:r>
      <w:r w:rsidR="000125D3" w:rsidRPr="006A0372">
        <w:rPr>
          <w:rFonts w:ascii="標楷體" w:eastAsia="標楷體" w:hAnsi="標楷體" w:cs="細明體"/>
          <w:kern w:val="0"/>
          <w:szCs w:val="24"/>
        </w:rPr>
        <w:t>、</w:t>
      </w:r>
      <w:proofErr w:type="gramStart"/>
      <w:r w:rsidRPr="006A0372">
        <w:rPr>
          <w:rFonts w:ascii="標楷體" w:eastAsia="標楷體" w:hAnsi="標楷體" w:cs="細明體"/>
          <w:kern w:val="0"/>
          <w:szCs w:val="24"/>
        </w:rPr>
        <w:t>扦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插苗及</w:t>
      </w:r>
      <w:proofErr w:type="gramEnd"/>
      <w:r w:rsidRPr="006A0372">
        <w:rPr>
          <w:rFonts w:ascii="標楷體" w:eastAsia="標楷體" w:hAnsi="標楷體" w:cs="細明體" w:hint="eastAsia"/>
          <w:kern w:val="0"/>
          <w:szCs w:val="24"/>
        </w:rPr>
        <w:t>嫁接苗三大類，</w:t>
      </w:r>
      <w:r w:rsidR="00FD0E5E" w:rsidRPr="006A0372">
        <w:rPr>
          <w:rFonts w:ascii="標楷體" w:eastAsia="標楷體" w:hAnsi="標楷體" w:cs="細明體" w:hint="eastAsia"/>
        </w:rPr>
        <w:t>國內</w:t>
      </w:r>
      <w:r w:rsidR="000125D3" w:rsidRPr="006A0372">
        <w:rPr>
          <w:rFonts w:ascii="標楷體" w:eastAsia="標楷體" w:hAnsi="標楷體" w:hint="eastAsia"/>
        </w:rPr>
        <w:t>種苗供應量最大的仍以實生苗為主，但栽培實生苗所產生的單株變異很大，無法保證具有豐產等特性。</w:t>
      </w:r>
      <w:proofErr w:type="gramStart"/>
      <w:r w:rsidR="000125D3" w:rsidRPr="006A0372">
        <w:rPr>
          <w:rFonts w:ascii="標楷體" w:eastAsia="標楷體" w:hAnsi="標楷體" w:hint="eastAsia"/>
        </w:rPr>
        <w:t>扦插苗</w:t>
      </w:r>
      <w:r w:rsidR="00E04CC9">
        <w:rPr>
          <w:rFonts w:ascii="標楷體" w:eastAsia="標楷體" w:hAnsi="標楷體" w:hint="eastAsia"/>
        </w:rPr>
        <w:t>則</w:t>
      </w:r>
      <w:proofErr w:type="gramEnd"/>
      <w:r w:rsidR="00D948AA" w:rsidRPr="006A0372">
        <w:rPr>
          <w:rFonts w:ascii="標楷體" w:eastAsia="標楷體" w:hAnsi="標楷體" w:cs="Arial"/>
          <w:color w:val="212121"/>
          <w:shd w:val="clear" w:color="auto" w:fill="FFFFFF"/>
        </w:rPr>
        <w:t>能保存母本植株的優良性狀，且扦插繁殖比嫁接繁殖簡單易行，繁殖快速，成苗快，育苗成本較低等優點</w:t>
      </w:r>
      <w:r w:rsidR="00B56093" w:rsidRPr="006A0372">
        <w:rPr>
          <w:rFonts w:ascii="標楷體" w:eastAsia="標楷體" w:hAnsi="標楷體" w:hint="eastAsia"/>
        </w:rPr>
        <w:t>。故</w:t>
      </w:r>
      <w:r w:rsidR="00B56093" w:rsidRPr="006A0372">
        <w:rPr>
          <w:rFonts w:ascii="標楷體" w:eastAsia="標楷體" w:hAnsi="標楷體" w:cs="細明體"/>
          <w:kern w:val="0"/>
          <w:szCs w:val="24"/>
        </w:rPr>
        <w:t>台灣油茶</w:t>
      </w:r>
      <w:r w:rsidR="00B56093" w:rsidRPr="006A0372">
        <w:rPr>
          <w:rFonts w:ascii="標楷體" w:eastAsia="標楷體" w:hAnsi="標楷體" w:cs="細明體" w:hint="eastAsia"/>
          <w:kern w:val="0"/>
          <w:szCs w:val="24"/>
        </w:rPr>
        <w:t>育苗</w:t>
      </w:r>
      <w:r w:rsidR="00B56093" w:rsidRPr="006A0372">
        <w:rPr>
          <w:rFonts w:ascii="標楷體" w:eastAsia="標楷體" w:hAnsi="標楷體" w:cs="細明體"/>
          <w:kern w:val="0"/>
          <w:szCs w:val="24"/>
        </w:rPr>
        <w:t>以實生苗及</w:t>
      </w:r>
      <w:proofErr w:type="gramStart"/>
      <w:r w:rsidR="00B56093" w:rsidRPr="006A0372">
        <w:rPr>
          <w:rFonts w:ascii="標楷體" w:eastAsia="標楷體" w:hAnsi="標楷體" w:cs="細明體"/>
          <w:kern w:val="0"/>
          <w:szCs w:val="24"/>
        </w:rPr>
        <w:t>扦插苗為主</w:t>
      </w:r>
      <w:proofErr w:type="gramEnd"/>
      <w:r w:rsidR="00B56093" w:rsidRPr="006A0372">
        <w:rPr>
          <w:rFonts w:ascii="標楷體" w:eastAsia="標楷體" w:hAnsi="標楷體" w:cs="細明體"/>
          <w:kern w:val="0"/>
          <w:szCs w:val="24"/>
        </w:rPr>
        <w:t>，</w:t>
      </w:r>
      <w:proofErr w:type="gramStart"/>
      <w:r w:rsidR="00B56093" w:rsidRPr="006A0372">
        <w:rPr>
          <w:rFonts w:ascii="標楷體" w:eastAsia="標楷體" w:hAnsi="標楷體" w:cs="細明體"/>
          <w:kern w:val="0"/>
          <w:szCs w:val="24"/>
        </w:rPr>
        <w:t>嫁接苗</w:t>
      </w:r>
      <w:r w:rsidR="00B56093" w:rsidRPr="006A0372">
        <w:rPr>
          <w:rFonts w:ascii="標楷體" w:eastAsia="標楷體" w:hAnsi="標楷體" w:cs="細明體" w:hint="eastAsia"/>
          <w:kern w:val="0"/>
          <w:szCs w:val="24"/>
        </w:rPr>
        <w:t>較少</w:t>
      </w:r>
      <w:proofErr w:type="gramEnd"/>
      <w:r w:rsidR="00B56093" w:rsidRPr="006A0372">
        <w:rPr>
          <w:rFonts w:ascii="標楷體" w:eastAsia="標楷體" w:hAnsi="標楷體" w:cs="細明體" w:hint="eastAsia"/>
          <w:kern w:val="0"/>
          <w:szCs w:val="24"/>
        </w:rPr>
        <w:t>生產</w:t>
      </w:r>
      <w:r w:rsidR="000125D3" w:rsidRPr="006A0372">
        <w:rPr>
          <w:rFonts w:ascii="標楷體" w:eastAsia="標楷體" w:hAnsi="標楷體" w:hint="eastAsia"/>
        </w:rPr>
        <w:t>，可知嫁接苗在國內並未普級化。</w:t>
      </w:r>
      <w:r w:rsidRPr="006A0372">
        <w:rPr>
          <w:rFonts w:ascii="標楷體" w:eastAsia="標楷體" w:hAnsi="標楷體" w:cs="細明體"/>
          <w:kern w:val="0"/>
          <w:szCs w:val="24"/>
        </w:rPr>
        <w:t>中國大陸</w:t>
      </w:r>
      <w:r w:rsidR="007E2634">
        <w:rPr>
          <w:rFonts w:ascii="標楷體" w:eastAsia="標楷體" w:hAnsi="標楷體" w:cs="細明體"/>
          <w:kern w:val="0"/>
          <w:szCs w:val="24"/>
        </w:rPr>
        <w:t>的</w:t>
      </w:r>
      <w:proofErr w:type="gramStart"/>
      <w:r w:rsidR="007E2634">
        <w:rPr>
          <w:rFonts w:ascii="標楷體" w:eastAsia="標楷體" w:hAnsi="標楷體" w:cs="細明體"/>
          <w:kern w:val="0"/>
          <w:szCs w:val="24"/>
        </w:rPr>
        <w:t>油茶苗</w:t>
      </w:r>
      <w:r w:rsidR="007E2634">
        <w:rPr>
          <w:rFonts w:ascii="標楷體" w:eastAsia="標楷體" w:hAnsi="標楷體" w:cs="細明體" w:hint="eastAsia"/>
          <w:kern w:val="0"/>
          <w:szCs w:val="24"/>
        </w:rPr>
        <w:t>以</w:t>
      </w:r>
      <w:r w:rsidRPr="006A0372">
        <w:rPr>
          <w:rFonts w:ascii="標楷體" w:eastAsia="標楷體" w:hAnsi="標楷體" w:cs="細明體"/>
          <w:kern w:val="0"/>
          <w:szCs w:val="24"/>
        </w:rPr>
        <w:t>嫁接</w:t>
      </w:r>
      <w:proofErr w:type="gramEnd"/>
      <w:r w:rsidRPr="006A0372">
        <w:rPr>
          <w:rFonts w:ascii="標楷體" w:eastAsia="標楷體" w:hAnsi="標楷體" w:cs="細明體"/>
          <w:kern w:val="0"/>
          <w:szCs w:val="24"/>
        </w:rPr>
        <w:t>苗生產</w:t>
      </w:r>
      <w:r w:rsidR="007E2634">
        <w:rPr>
          <w:rFonts w:ascii="標楷體" w:eastAsia="標楷體" w:hAnsi="標楷體" w:cs="細明體"/>
          <w:kern w:val="0"/>
          <w:szCs w:val="24"/>
        </w:rPr>
        <w:t>為主流</w:t>
      </w:r>
      <w:r w:rsidRPr="006A0372">
        <w:rPr>
          <w:rFonts w:ascii="標楷體" w:eastAsia="標楷體" w:hAnsi="標楷體" w:cs="細明體"/>
          <w:kern w:val="0"/>
          <w:szCs w:val="24"/>
        </w:rPr>
        <w:t>，尤其以胚軸嫁接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(芽苗</w:t>
      </w:r>
      <w:proofErr w:type="gramStart"/>
      <w:r w:rsidRPr="006A0372">
        <w:rPr>
          <w:rFonts w:ascii="標楷體" w:eastAsia="標楷體" w:hAnsi="標楷體" w:cs="細明體" w:hint="eastAsia"/>
          <w:kern w:val="0"/>
          <w:szCs w:val="24"/>
        </w:rPr>
        <w:t>砧</w:t>
      </w:r>
      <w:proofErr w:type="gramEnd"/>
      <w:r w:rsidRPr="006A0372">
        <w:rPr>
          <w:rFonts w:ascii="標楷體" w:eastAsia="標楷體" w:hAnsi="標楷體" w:cs="細明體" w:hint="eastAsia"/>
          <w:kern w:val="0"/>
          <w:szCs w:val="24"/>
        </w:rPr>
        <w:t>)</w:t>
      </w:r>
      <w:r w:rsidRPr="006A0372">
        <w:rPr>
          <w:rFonts w:ascii="標楷體" w:eastAsia="標楷體" w:hAnsi="標楷體" w:cs="細明體"/>
          <w:kern w:val="0"/>
          <w:szCs w:val="24"/>
        </w:rPr>
        <w:t>育苗方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式量化生產</w:t>
      </w:r>
      <w:r w:rsidR="007E2634">
        <w:rPr>
          <w:rFonts w:ascii="標楷體" w:eastAsia="標楷體" w:hAnsi="標楷體" w:cs="細明體" w:hint="eastAsia"/>
        </w:rPr>
        <w:t>。本文以</w:t>
      </w:r>
      <w:r w:rsidR="007E2634" w:rsidRPr="00D603DD">
        <w:rPr>
          <w:rFonts w:ascii="標楷體" w:eastAsia="標楷體" w:hAnsi="標楷體" w:cs="細明體" w:hint="eastAsia"/>
          <w:kern w:val="0"/>
          <w:szCs w:val="24"/>
        </w:rPr>
        <w:t>胚軸嫁接及</w:t>
      </w:r>
      <w:r w:rsidR="007E2634">
        <w:rPr>
          <w:rFonts w:ascii="標楷體" w:eastAsia="標楷體" w:hAnsi="標楷體" w:cs="細明體" w:hint="eastAsia"/>
          <w:kern w:val="0"/>
          <w:szCs w:val="24"/>
        </w:rPr>
        <w:t>小苗</w:t>
      </w:r>
      <w:r w:rsidR="007E2634" w:rsidRPr="00D603DD">
        <w:rPr>
          <w:rFonts w:ascii="標楷體" w:eastAsia="標楷體" w:hAnsi="標楷體" w:cs="細明體" w:hint="eastAsia"/>
          <w:kern w:val="0"/>
          <w:szCs w:val="24"/>
        </w:rPr>
        <w:t>嫁接</w:t>
      </w:r>
      <w:r w:rsidR="007E2634">
        <w:rPr>
          <w:rFonts w:ascii="標楷體" w:eastAsia="標楷體" w:hAnsi="標楷體" w:cs="細明體" w:hint="eastAsia"/>
          <w:kern w:val="0"/>
          <w:szCs w:val="24"/>
        </w:rPr>
        <w:t>(</w:t>
      </w:r>
      <w:r w:rsidR="007E2634" w:rsidRPr="00D603DD">
        <w:rPr>
          <w:rFonts w:ascii="標楷體" w:eastAsia="標楷體" w:hAnsi="標楷體" w:cs="細明體" w:hint="eastAsia"/>
          <w:kern w:val="0"/>
          <w:szCs w:val="24"/>
        </w:rPr>
        <w:t>一</w:t>
      </w:r>
      <w:r w:rsidR="007E2634">
        <w:rPr>
          <w:rFonts w:ascii="標楷體" w:eastAsia="標楷體" w:hAnsi="標楷體" w:cs="細明體" w:hint="eastAsia"/>
          <w:kern w:val="0"/>
          <w:szCs w:val="24"/>
        </w:rPr>
        <w:t>、二</w:t>
      </w:r>
      <w:r w:rsidR="007E2634" w:rsidRPr="00D603DD">
        <w:rPr>
          <w:rFonts w:ascii="標楷體" w:eastAsia="標楷體" w:hAnsi="標楷體" w:cs="細明體" w:hint="eastAsia"/>
          <w:kern w:val="0"/>
          <w:szCs w:val="24"/>
        </w:rPr>
        <w:t>年生實生苗</w:t>
      </w:r>
      <w:r w:rsidR="007E2634">
        <w:rPr>
          <w:rFonts w:ascii="標楷體" w:eastAsia="標楷體" w:hAnsi="標楷體" w:cs="細明體" w:hint="eastAsia"/>
          <w:kern w:val="0"/>
          <w:szCs w:val="24"/>
        </w:rPr>
        <w:t>砧木)技術介紹，供</w:t>
      </w:r>
      <w:r w:rsidR="007E2634" w:rsidRPr="00D603DD">
        <w:rPr>
          <w:rFonts w:ascii="標楷體" w:eastAsia="標楷體" w:hAnsi="標楷體" w:cs="細明體" w:hint="eastAsia"/>
          <w:kern w:val="0"/>
          <w:szCs w:val="24"/>
        </w:rPr>
        <w:t>嫁接苗</w:t>
      </w:r>
      <w:r w:rsidR="007E2634">
        <w:rPr>
          <w:rFonts w:ascii="標楷體" w:eastAsia="標楷體" w:hAnsi="標楷體" w:cs="細明體" w:hint="eastAsia"/>
          <w:kern w:val="0"/>
          <w:szCs w:val="24"/>
        </w:rPr>
        <w:t>生</w:t>
      </w:r>
      <w:r w:rsidR="007E2634" w:rsidRPr="00D603DD">
        <w:rPr>
          <w:rFonts w:ascii="標楷體" w:eastAsia="標楷體" w:hAnsi="標楷體" w:cs="細明體" w:hint="eastAsia"/>
          <w:kern w:val="0"/>
          <w:szCs w:val="24"/>
        </w:rPr>
        <w:t>產</w:t>
      </w:r>
      <w:r w:rsidR="007E2634">
        <w:rPr>
          <w:rFonts w:ascii="標楷體" w:eastAsia="標楷體" w:hAnsi="標楷體" w:cs="細明體" w:hint="eastAsia"/>
          <w:kern w:val="0"/>
          <w:szCs w:val="24"/>
        </w:rPr>
        <w:t>之參考</w:t>
      </w:r>
      <w:r w:rsidR="007E2634" w:rsidRPr="00D603DD">
        <w:rPr>
          <w:rFonts w:ascii="標楷體" w:eastAsia="標楷體" w:hAnsi="標楷體" w:cs="細明體" w:hint="eastAsia"/>
          <w:kern w:val="0"/>
          <w:szCs w:val="24"/>
        </w:rPr>
        <w:t>。</w:t>
      </w:r>
    </w:p>
    <w:p w:rsidR="007E2634" w:rsidRDefault="007E2634" w:rsidP="00C80151">
      <w:pPr>
        <w:ind w:firstLineChars="177" w:firstLine="425"/>
        <w:jc w:val="center"/>
        <w:rPr>
          <w:rFonts w:ascii="標楷體" w:eastAsia="標楷體" w:hAnsi="標楷體" w:cs="細明體"/>
          <w:kern w:val="0"/>
          <w:szCs w:val="24"/>
        </w:rPr>
      </w:pPr>
    </w:p>
    <w:p w:rsidR="00C80151" w:rsidRPr="007E2634" w:rsidRDefault="00C80151" w:rsidP="00C80151">
      <w:pPr>
        <w:ind w:firstLineChars="177" w:firstLine="425"/>
        <w:jc w:val="center"/>
        <w:rPr>
          <w:rFonts w:ascii="標楷體" w:eastAsia="標楷體" w:hAnsi="標楷體" w:cs="細明體"/>
          <w:b/>
          <w:kern w:val="0"/>
          <w:szCs w:val="24"/>
        </w:rPr>
      </w:pPr>
      <w:r w:rsidRPr="007E2634">
        <w:rPr>
          <w:rFonts w:ascii="標楷體" w:eastAsia="標楷體" w:hAnsi="標楷體" w:cs="細明體"/>
          <w:b/>
          <w:kern w:val="0"/>
          <w:szCs w:val="24"/>
        </w:rPr>
        <w:t>嫁接苗</w:t>
      </w:r>
      <w:r w:rsidR="00B56093" w:rsidRPr="007E2634">
        <w:rPr>
          <w:rFonts w:ascii="標楷體" w:eastAsia="標楷體" w:hAnsi="標楷體" w:cs="細明體"/>
          <w:b/>
          <w:kern w:val="0"/>
          <w:szCs w:val="24"/>
        </w:rPr>
        <w:t>繁殖方法</w:t>
      </w:r>
    </w:p>
    <w:p w:rsidR="00D948AA" w:rsidRPr="006A0372" w:rsidRDefault="006A0372" w:rsidP="0040118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color w:val="212121"/>
          <w:kern w:val="0"/>
          <w:szCs w:val="24"/>
        </w:rPr>
      </w:pPr>
      <w:r>
        <w:rPr>
          <w:rFonts w:ascii="標楷體" w:eastAsia="標楷體" w:hAnsi="標楷體" w:cs="細明體"/>
          <w:kern w:val="0"/>
          <w:szCs w:val="24"/>
        </w:rPr>
        <w:t>油茶</w:t>
      </w:r>
      <w:r w:rsidR="00401189" w:rsidRPr="006A0372">
        <w:rPr>
          <w:rFonts w:ascii="標楷體" w:eastAsia="標楷體" w:hAnsi="標楷體" w:cs="細明體"/>
          <w:kern w:val="0"/>
          <w:szCs w:val="24"/>
        </w:rPr>
        <w:t>嫁接苗</w:t>
      </w:r>
      <w:r>
        <w:rPr>
          <w:rFonts w:ascii="標楷體" w:eastAsia="標楷體" w:hAnsi="標楷體" w:cs="細明體"/>
          <w:kern w:val="0"/>
          <w:szCs w:val="24"/>
        </w:rPr>
        <w:t>生產</w:t>
      </w:r>
      <w:r w:rsidR="00401189" w:rsidRPr="006A0372">
        <w:rPr>
          <w:rFonts w:ascii="標楷體" w:eastAsia="標楷體" w:hAnsi="標楷體" w:cs="細明體"/>
          <w:kern w:val="0"/>
          <w:szCs w:val="24"/>
        </w:rPr>
        <w:t>可分為砧木培育、接穗來</w:t>
      </w:r>
      <w:r w:rsidR="00401189" w:rsidRPr="006A0372">
        <w:rPr>
          <w:rFonts w:ascii="標楷體" w:eastAsia="標楷體" w:hAnsi="標楷體" w:cs="細明體" w:hint="eastAsia"/>
          <w:kern w:val="0"/>
          <w:szCs w:val="24"/>
        </w:rPr>
        <w:t>源</w:t>
      </w:r>
      <w:r w:rsidR="00401189" w:rsidRPr="006A0372">
        <w:rPr>
          <w:rFonts w:ascii="標楷體" w:eastAsia="標楷體" w:hAnsi="標楷體" w:cs="細明體"/>
          <w:kern w:val="0"/>
          <w:szCs w:val="24"/>
        </w:rPr>
        <w:t>與</w:t>
      </w:r>
      <w:proofErr w:type="gramStart"/>
      <w:r w:rsidR="00401189" w:rsidRPr="006A0372">
        <w:rPr>
          <w:rFonts w:ascii="標楷體" w:eastAsia="標楷體" w:hAnsi="標楷體" w:cs="細明體"/>
          <w:kern w:val="0"/>
          <w:szCs w:val="24"/>
        </w:rPr>
        <w:t>採</w:t>
      </w:r>
      <w:proofErr w:type="gramEnd"/>
      <w:r w:rsidR="00401189" w:rsidRPr="006A0372">
        <w:rPr>
          <w:rFonts w:ascii="標楷體" w:eastAsia="標楷體" w:hAnsi="標楷體" w:cs="細明體"/>
          <w:kern w:val="0"/>
          <w:szCs w:val="24"/>
        </w:rPr>
        <w:t>穗作業、嫁接方法與作業、</w:t>
      </w:r>
      <w:r w:rsidR="00401189" w:rsidRPr="006A0372">
        <w:rPr>
          <w:rFonts w:ascii="標楷體" w:eastAsia="標楷體" w:hAnsi="標楷體" w:cs="細明體" w:hint="eastAsia"/>
          <w:kern w:val="0"/>
          <w:szCs w:val="24"/>
        </w:rPr>
        <w:t>嫁接苗管理及</w:t>
      </w:r>
      <w:r w:rsidR="00401189" w:rsidRPr="006A0372">
        <w:rPr>
          <w:rFonts w:ascii="標楷體" w:eastAsia="標楷體" w:hAnsi="標楷體" w:hint="eastAsia"/>
          <w:kern w:val="0"/>
          <w:szCs w:val="24"/>
        </w:rPr>
        <w:t>病害防治等，</w:t>
      </w:r>
      <w:r w:rsidR="00401189" w:rsidRPr="006A0372">
        <w:rPr>
          <w:rFonts w:ascii="標楷體" w:eastAsia="標楷體" w:hAnsi="標楷體" w:hint="eastAsia"/>
          <w:sz w:val="23"/>
          <w:szCs w:val="23"/>
          <w:shd w:val="clear" w:color="auto" w:fill="FFFFFF"/>
        </w:rPr>
        <w:t>培育方法分述如下：</w:t>
      </w:r>
    </w:p>
    <w:p w:rsidR="00401189" w:rsidRPr="006A0372" w:rsidRDefault="00401189" w:rsidP="00401189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細明體"/>
          <w:kern w:val="0"/>
          <w:szCs w:val="24"/>
        </w:rPr>
      </w:pPr>
      <w:r w:rsidRPr="006A0372">
        <w:rPr>
          <w:rFonts w:ascii="標楷體" w:eastAsia="標楷體" w:hAnsi="標楷體" w:cs="細明體" w:hint="eastAsia"/>
          <w:kern w:val="0"/>
          <w:szCs w:val="24"/>
        </w:rPr>
        <w:t>砧木培育：</w:t>
      </w:r>
    </w:p>
    <w:p w:rsidR="00401189" w:rsidRPr="006A0372" w:rsidRDefault="003F42D5" w:rsidP="003F42D5">
      <w:pPr>
        <w:pStyle w:val="a3"/>
        <w:ind w:leftChars="0" w:left="0"/>
        <w:rPr>
          <w:rFonts w:ascii="標楷體" w:eastAsia="標楷體" w:hAnsi="標楷體" w:cs="細明體"/>
          <w:kern w:val="0"/>
          <w:szCs w:val="24"/>
        </w:rPr>
      </w:pPr>
      <w:r>
        <w:rPr>
          <w:rFonts w:ascii="標楷體" w:eastAsia="標楷體" w:hAnsi="標楷體" w:cs="細明體" w:hint="eastAsia"/>
          <w:kern w:val="0"/>
          <w:szCs w:val="24"/>
        </w:rPr>
        <w:t>(</w:t>
      </w:r>
      <w:proofErr w:type="gramStart"/>
      <w:r>
        <w:rPr>
          <w:rFonts w:ascii="標楷體" w:eastAsia="標楷體" w:hAnsi="標楷體" w:cs="細明體" w:hint="eastAsia"/>
          <w:kern w:val="0"/>
          <w:szCs w:val="24"/>
        </w:rPr>
        <w:t>一</w:t>
      </w:r>
      <w:proofErr w:type="gramEnd"/>
      <w:r>
        <w:rPr>
          <w:rFonts w:ascii="標楷體" w:eastAsia="標楷體" w:hAnsi="標楷體" w:cs="細明體" w:hint="eastAsia"/>
          <w:kern w:val="0"/>
          <w:szCs w:val="24"/>
        </w:rPr>
        <w:t>)</w:t>
      </w:r>
      <w:r w:rsidR="00401189" w:rsidRPr="006A0372">
        <w:rPr>
          <w:rFonts w:ascii="標楷體" w:eastAsia="標楷體" w:hAnsi="標楷體" w:cs="細明體" w:hint="eastAsia"/>
          <w:kern w:val="0"/>
          <w:szCs w:val="24"/>
        </w:rPr>
        <w:t>種子篩選及貯藏：</w:t>
      </w:r>
    </w:p>
    <w:p w:rsidR="00401189" w:rsidRPr="006A0372" w:rsidRDefault="00401189" w:rsidP="00401189">
      <w:pPr>
        <w:pStyle w:val="a3"/>
        <w:ind w:leftChars="-2" w:left="-5" w:firstLineChars="179" w:firstLine="430"/>
        <w:rPr>
          <w:rFonts w:ascii="標楷體" w:eastAsia="標楷體" w:hAnsi="標楷體" w:cs="細明體"/>
          <w:kern w:val="0"/>
          <w:szCs w:val="24"/>
        </w:rPr>
      </w:pPr>
      <w:r w:rsidRPr="006A0372">
        <w:rPr>
          <w:rFonts w:ascii="標楷體" w:eastAsia="標楷體" w:hAnsi="標楷體" w:cs="細明體" w:hint="eastAsia"/>
          <w:kern w:val="0"/>
          <w:szCs w:val="24"/>
        </w:rPr>
        <w:t>油茶種子為</w:t>
      </w:r>
      <w:proofErr w:type="gramStart"/>
      <w:r w:rsidRPr="006A0372">
        <w:rPr>
          <w:rFonts w:ascii="標楷體" w:eastAsia="標楷體" w:hAnsi="標楷體" w:cs="細明體" w:hint="eastAsia"/>
          <w:kern w:val="0"/>
          <w:szCs w:val="24"/>
        </w:rPr>
        <w:t>異貯型種子</w:t>
      </w:r>
      <w:proofErr w:type="gramEnd"/>
      <w:r w:rsidRPr="006A0372">
        <w:rPr>
          <w:rFonts w:ascii="標楷體" w:eastAsia="標楷體" w:hAnsi="標楷體" w:cs="細明體" w:hint="eastAsia"/>
          <w:kern w:val="0"/>
          <w:szCs w:val="24"/>
        </w:rPr>
        <w:t>，容易失去活力，需要進行適當的保存，確保發芽。供作砧木育苗用的種子必須在</w:t>
      </w:r>
      <w:proofErr w:type="gramStart"/>
      <w:r w:rsidRPr="006A0372">
        <w:rPr>
          <w:rFonts w:ascii="標楷體" w:eastAsia="標楷體" w:hAnsi="標楷體" w:cs="細明體" w:hint="eastAsia"/>
          <w:kern w:val="0"/>
          <w:szCs w:val="24"/>
        </w:rPr>
        <w:t>採</w:t>
      </w:r>
      <w:proofErr w:type="gramEnd"/>
      <w:r w:rsidRPr="006A0372">
        <w:rPr>
          <w:rFonts w:ascii="標楷體" w:eastAsia="標楷體" w:hAnsi="標楷體" w:cs="細明體" w:hint="eastAsia"/>
          <w:kern w:val="0"/>
          <w:szCs w:val="24"/>
        </w:rPr>
        <w:t>收後挑選</w:t>
      </w:r>
      <w:proofErr w:type="gramStart"/>
      <w:r w:rsidRPr="006A0372">
        <w:rPr>
          <w:rFonts w:ascii="標楷體" w:eastAsia="標楷體" w:hAnsi="標楷體" w:cs="細明體" w:hint="eastAsia"/>
          <w:kern w:val="0"/>
          <w:szCs w:val="24"/>
        </w:rPr>
        <w:t>籽粒大</w:t>
      </w:r>
      <w:proofErr w:type="gramEnd"/>
      <w:r w:rsidRPr="006A0372">
        <w:rPr>
          <w:rFonts w:ascii="標楷體" w:eastAsia="標楷體" w:hAnsi="標楷體" w:cs="細明體" w:hint="eastAsia"/>
          <w:kern w:val="0"/>
          <w:szCs w:val="24"/>
        </w:rPr>
        <w:t>且飽滿的種子，因營養充足</w:t>
      </w:r>
      <w:proofErr w:type="gramStart"/>
      <w:r w:rsidRPr="006A0372">
        <w:rPr>
          <w:rFonts w:ascii="標楷體" w:eastAsia="標楷體" w:hAnsi="標楷體" w:cs="細明體" w:hint="eastAsia"/>
          <w:kern w:val="0"/>
          <w:szCs w:val="24"/>
        </w:rPr>
        <w:t>足</w:t>
      </w:r>
      <w:proofErr w:type="gramEnd"/>
      <w:r w:rsidRPr="006A0372">
        <w:rPr>
          <w:rFonts w:ascii="標楷體" w:eastAsia="標楷體" w:hAnsi="標楷體" w:cs="細明體" w:hint="eastAsia"/>
          <w:kern w:val="0"/>
          <w:szCs w:val="24"/>
        </w:rPr>
        <w:t>供砧木苗生長良好、根系旺盛。種子宜放置於0-5℃冷藏庫保存，種子活力隨時間增加而遞減，故最好於</w:t>
      </w:r>
      <w:proofErr w:type="gramStart"/>
      <w:r w:rsidRPr="006A0372">
        <w:rPr>
          <w:rFonts w:ascii="標楷體" w:eastAsia="標楷體" w:hAnsi="標楷體" w:cs="細明體" w:hint="eastAsia"/>
          <w:kern w:val="0"/>
          <w:szCs w:val="24"/>
        </w:rPr>
        <w:t>一</w:t>
      </w:r>
      <w:proofErr w:type="gramEnd"/>
      <w:r w:rsidRPr="006A0372">
        <w:rPr>
          <w:rFonts w:ascii="標楷體" w:eastAsia="標楷體" w:hAnsi="標楷體" w:cs="細明體" w:hint="eastAsia"/>
          <w:kern w:val="0"/>
          <w:szCs w:val="24"/>
        </w:rPr>
        <w:t>年內播種，以確保砧木養成率。油茶種子除了不耐貯藏外，其亦有休眠性，</w:t>
      </w:r>
      <w:proofErr w:type="gramStart"/>
      <w:r w:rsidRPr="006A0372">
        <w:rPr>
          <w:rFonts w:ascii="標楷體" w:eastAsia="標楷體" w:hAnsi="標楷體" w:cs="細明體" w:hint="eastAsia"/>
          <w:kern w:val="0"/>
          <w:szCs w:val="24"/>
        </w:rPr>
        <w:t>濕冷層積</w:t>
      </w:r>
      <w:proofErr w:type="gramEnd"/>
      <w:r w:rsidRPr="006A0372">
        <w:rPr>
          <w:rFonts w:ascii="標楷體" w:eastAsia="標楷體" w:hAnsi="標楷體" w:cs="細明體" w:hint="eastAsia"/>
          <w:kern w:val="0"/>
          <w:szCs w:val="24"/>
        </w:rPr>
        <w:t>1-2個月的方法可順利打破休眠而發芽。</w:t>
      </w:r>
    </w:p>
    <w:p w:rsidR="007F4E2A" w:rsidRPr="003F42D5" w:rsidRDefault="003F42D5" w:rsidP="003F42D5">
      <w:pPr>
        <w:rPr>
          <w:rFonts w:ascii="標楷體" w:eastAsia="標楷體" w:hAnsi="標楷體" w:cs="細明體"/>
          <w:kern w:val="0"/>
          <w:szCs w:val="24"/>
        </w:rPr>
      </w:pPr>
      <w:r>
        <w:rPr>
          <w:rFonts w:ascii="標楷體" w:eastAsia="標楷體" w:hAnsi="標楷體" w:cs="細明體" w:hint="eastAsia"/>
          <w:kern w:val="0"/>
          <w:szCs w:val="24"/>
        </w:rPr>
        <w:t>(二)</w:t>
      </w:r>
      <w:r w:rsidR="007F4E2A" w:rsidRPr="003F42D5">
        <w:rPr>
          <w:rFonts w:ascii="標楷體" w:eastAsia="標楷體" w:hAnsi="標楷體" w:cs="細明體" w:hint="eastAsia"/>
          <w:kern w:val="0"/>
          <w:szCs w:val="24"/>
        </w:rPr>
        <w:t>種子催芽及苗床建置</w:t>
      </w:r>
    </w:p>
    <w:p w:rsidR="007F4E2A" w:rsidRPr="006A0372" w:rsidRDefault="007F4E2A" w:rsidP="007F4E2A">
      <w:pPr>
        <w:autoSpaceDE w:val="0"/>
        <w:autoSpaceDN w:val="0"/>
        <w:adjustRightInd w:val="0"/>
        <w:ind w:firstLineChars="177" w:firstLine="425"/>
        <w:rPr>
          <w:rFonts w:ascii="標楷體" w:eastAsia="標楷體" w:hAnsi="標楷體" w:cs="細明體"/>
          <w:kern w:val="0"/>
          <w:szCs w:val="24"/>
        </w:rPr>
      </w:pPr>
      <w:r w:rsidRPr="006A0372">
        <w:rPr>
          <w:rFonts w:ascii="標楷體" w:eastAsia="標楷體" w:hAnsi="標楷體" w:cs="細明體"/>
          <w:kern w:val="0"/>
          <w:szCs w:val="24"/>
        </w:rPr>
        <w:t>胚軸嫁接的砧木</w:t>
      </w:r>
      <w:proofErr w:type="gramStart"/>
      <w:r w:rsidRPr="006A0372">
        <w:rPr>
          <w:rFonts w:ascii="標楷體" w:eastAsia="標楷體" w:hAnsi="標楷體" w:cs="細明體" w:hint="eastAsia"/>
          <w:kern w:val="0"/>
          <w:szCs w:val="24"/>
        </w:rPr>
        <w:t>播種期選在</w:t>
      </w:r>
      <w:proofErr w:type="gramEnd"/>
      <w:r w:rsidRPr="006A0372">
        <w:rPr>
          <w:rFonts w:ascii="標楷體" w:eastAsia="標楷體" w:hAnsi="標楷體" w:cs="細明體" w:hint="eastAsia"/>
          <w:kern w:val="0"/>
          <w:szCs w:val="24"/>
        </w:rPr>
        <w:t>春季為宜，播種前要將冷藏的種子取出，進行種子殺菌作業，建議以植物保護手冊推薦之種子殺菌劑處理，放置殺菌液中進行揀選，將浮</w:t>
      </w:r>
      <w:proofErr w:type="gramStart"/>
      <w:r w:rsidRPr="006A0372">
        <w:rPr>
          <w:rFonts w:ascii="標楷體" w:eastAsia="標楷體" w:hAnsi="標楷體" w:cs="細明體" w:hint="eastAsia"/>
          <w:kern w:val="0"/>
          <w:szCs w:val="24"/>
        </w:rPr>
        <w:t>上液面</w:t>
      </w:r>
      <w:proofErr w:type="gramEnd"/>
      <w:r w:rsidRPr="006A0372">
        <w:rPr>
          <w:rFonts w:ascii="標楷體" w:eastAsia="標楷體" w:hAnsi="標楷體" w:cs="細明體" w:hint="eastAsia"/>
          <w:kern w:val="0"/>
          <w:szCs w:val="24"/>
        </w:rPr>
        <w:t>的種子予以剔除。催芽苗床的建置，可選擇排水良好的</w:t>
      </w:r>
      <w:proofErr w:type="gramStart"/>
      <w:r w:rsidRPr="006A0372">
        <w:rPr>
          <w:rFonts w:ascii="標楷體" w:eastAsia="標楷體" w:hAnsi="標楷體" w:cs="細明體" w:hint="eastAsia"/>
          <w:kern w:val="0"/>
          <w:szCs w:val="24"/>
        </w:rPr>
        <w:t>平坦田</w:t>
      </w:r>
      <w:proofErr w:type="gramEnd"/>
      <w:r w:rsidRPr="006A0372">
        <w:rPr>
          <w:rFonts w:ascii="標楷體" w:eastAsia="標楷體" w:hAnsi="標楷體" w:cs="細明體" w:hint="eastAsia"/>
          <w:kern w:val="0"/>
          <w:szCs w:val="24"/>
        </w:rPr>
        <w:t>區上堆置乾淨的河沙，再把種子</w:t>
      </w:r>
      <w:proofErr w:type="gramStart"/>
      <w:r w:rsidRPr="006A0372">
        <w:rPr>
          <w:rFonts w:ascii="標楷體" w:eastAsia="標楷體" w:hAnsi="標楷體" w:cs="細明體" w:hint="eastAsia"/>
          <w:kern w:val="0"/>
          <w:szCs w:val="24"/>
        </w:rPr>
        <w:t>均勻撒布在</w:t>
      </w:r>
      <w:proofErr w:type="gramEnd"/>
      <w:r w:rsidRPr="006A0372">
        <w:rPr>
          <w:rFonts w:ascii="標楷體" w:eastAsia="標楷體" w:hAnsi="標楷體" w:cs="細明體" w:hint="eastAsia"/>
          <w:kern w:val="0"/>
          <w:szCs w:val="24"/>
        </w:rPr>
        <w:t>床面上，種子盡量不要重疊，讓其有生長的空間，並</w:t>
      </w:r>
      <w:proofErr w:type="gramStart"/>
      <w:r w:rsidRPr="006A0372">
        <w:rPr>
          <w:rFonts w:ascii="標楷體" w:eastAsia="標楷體" w:hAnsi="標楷體" w:cs="細明體" w:hint="eastAsia"/>
          <w:kern w:val="0"/>
          <w:szCs w:val="24"/>
        </w:rPr>
        <w:t>將床面覆沙整</w:t>
      </w:r>
      <w:proofErr w:type="gramEnd"/>
      <w:r w:rsidRPr="006A0372">
        <w:rPr>
          <w:rFonts w:ascii="標楷體" w:eastAsia="標楷體" w:hAnsi="標楷體" w:cs="細明體" w:hint="eastAsia"/>
          <w:kern w:val="0"/>
          <w:szCs w:val="24"/>
        </w:rPr>
        <w:t>平即完成種子播種作業。之後均勻灑水並使苗床保持濕度，有利於種子萌發，待種子發根萌芽後則可取</w:t>
      </w:r>
      <w:proofErr w:type="gramStart"/>
      <w:r w:rsidRPr="006A0372">
        <w:rPr>
          <w:rFonts w:ascii="標楷體" w:eastAsia="標楷體" w:hAnsi="標楷體" w:cs="細明體" w:hint="eastAsia"/>
          <w:kern w:val="0"/>
          <w:szCs w:val="24"/>
        </w:rPr>
        <w:t>砧</w:t>
      </w:r>
      <w:proofErr w:type="gramEnd"/>
      <w:r w:rsidR="00F121FA" w:rsidRPr="006A0372">
        <w:rPr>
          <w:rFonts w:ascii="標楷體" w:eastAsia="標楷體" w:hAnsi="標楷體" w:cs="細明體" w:hint="eastAsia"/>
          <w:kern w:val="0"/>
          <w:szCs w:val="24"/>
        </w:rPr>
        <w:t>供作胚軸嫁接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利用或移至容器</w:t>
      </w:r>
      <w:r w:rsidR="00DB49F5">
        <w:rPr>
          <w:rFonts w:ascii="標楷體" w:eastAsia="標楷體" w:hAnsi="標楷體" w:cs="細明體" w:hint="eastAsia"/>
          <w:kern w:val="0"/>
          <w:szCs w:val="24"/>
        </w:rPr>
        <w:t>再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栽培</w:t>
      </w:r>
      <w:r w:rsidR="00F121FA" w:rsidRPr="006A0372">
        <w:rPr>
          <w:rFonts w:ascii="標楷體" w:eastAsia="標楷體" w:hAnsi="標楷體" w:cs="細明體" w:hint="eastAsia"/>
          <w:kern w:val="0"/>
          <w:szCs w:val="24"/>
        </w:rPr>
        <w:t>1-2年的實生苗等</w:t>
      </w:r>
      <w:r w:rsidR="00D04B7F" w:rsidRPr="006A0372">
        <w:rPr>
          <w:rFonts w:ascii="標楷體" w:eastAsia="標楷體" w:hAnsi="標楷體" w:cs="細明體" w:hint="eastAsia"/>
          <w:kern w:val="0"/>
          <w:szCs w:val="24"/>
        </w:rPr>
        <w:t>供為嫁接砧木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。</w:t>
      </w:r>
    </w:p>
    <w:p w:rsidR="007F4E2A" w:rsidRPr="006A0372" w:rsidRDefault="007F4E2A" w:rsidP="007F4E2A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 w:cs="細明體"/>
          <w:kern w:val="0"/>
          <w:szCs w:val="24"/>
        </w:rPr>
      </w:pPr>
      <w:r w:rsidRPr="006A0372">
        <w:rPr>
          <w:rFonts w:ascii="標楷體" w:eastAsia="標楷體" w:hAnsi="標楷體" w:cs="細明體"/>
          <w:kern w:val="0"/>
          <w:szCs w:val="24"/>
        </w:rPr>
        <w:t>接穗來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源</w:t>
      </w:r>
      <w:r w:rsidRPr="006A0372">
        <w:rPr>
          <w:rFonts w:ascii="標楷體" w:eastAsia="標楷體" w:hAnsi="標楷體" w:cs="細明體"/>
          <w:kern w:val="0"/>
          <w:szCs w:val="24"/>
        </w:rPr>
        <w:t>及</w:t>
      </w:r>
      <w:proofErr w:type="gramStart"/>
      <w:r w:rsidRPr="006A0372">
        <w:rPr>
          <w:rFonts w:ascii="標楷體" w:eastAsia="標楷體" w:hAnsi="標楷體" w:cs="細明體"/>
          <w:kern w:val="0"/>
          <w:szCs w:val="24"/>
        </w:rPr>
        <w:t>採</w:t>
      </w:r>
      <w:proofErr w:type="gramEnd"/>
      <w:r w:rsidRPr="006A0372">
        <w:rPr>
          <w:rFonts w:ascii="標楷體" w:eastAsia="標楷體" w:hAnsi="標楷體" w:cs="細明體"/>
          <w:kern w:val="0"/>
          <w:szCs w:val="24"/>
        </w:rPr>
        <w:t>穗作業</w:t>
      </w:r>
    </w:p>
    <w:p w:rsidR="007F4E2A" w:rsidRPr="006A0372" w:rsidRDefault="007F4E2A" w:rsidP="007F4E2A">
      <w:pPr>
        <w:pStyle w:val="a3"/>
        <w:autoSpaceDE w:val="0"/>
        <w:autoSpaceDN w:val="0"/>
        <w:adjustRightInd w:val="0"/>
        <w:ind w:leftChars="0" w:left="0" w:firstLineChars="177" w:firstLine="425"/>
        <w:rPr>
          <w:rFonts w:ascii="標楷體" w:eastAsia="標楷體" w:hAnsi="標楷體" w:cs="細明體"/>
          <w:kern w:val="0"/>
          <w:szCs w:val="24"/>
        </w:rPr>
      </w:pPr>
      <w:r w:rsidRPr="006A0372">
        <w:rPr>
          <w:rFonts w:ascii="標楷體" w:eastAsia="標楷體" w:hAnsi="標楷體" w:cs="細明體"/>
          <w:kern w:val="0"/>
          <w:szCs w:val="24"/>
        </w:rPr>
        <w:t>優良</w:t>
      </w:r>
      <w:r w:rsidR="00E04CC9">
        <w:rPr>
          <w:rFonts w:ascii="標楷體" w:eastAsia="標楷體" w:hAnsi="標楷體" w:cs="細明體"/>
          <w:kern w:val="0"/>
          <w:szCs w:val="24"/>
        </w:rPr>
        <w:t>油茶品種是保證油茶豐產、穩定生產的前提和基礎</w:t>
      </w:r>
      <w:r w:rsidRPr="006A0372">
        <w:rPr>
          <w:rFonts w:ascii="標楷體" w:eastAsia="標楷體" w:hAnsi="標楷體" w:cs="細明體"/>
          <w:kern w:val="0"/>
          <w:szCs w:val="24"/>
        </w:rPr>
        <w:t>。台灣目前以實生苗</w:t>
      </w:r>
      <w:r w:rsidRPr="006A0372">
        <w:rPr>
          <w:rFonts w:ascii="標楷體" w:eastAsia="標楷體" w:hAnsi="標楷體" w:cs="細明體"/>
          <w:kern w:val="0"/>
          <w:szCs w:val="24"/>
        </w:rPr>
        <w:lastRenderedPageBreak/>
        <w:t>繁殖為主，種苗來源及品質良莠不齊，影響產業甚</w:t>
      </w:r>
      <w:proofErr w:type="gramStart"/>
      <w:r w:rsidRPr="006A0372">
        <w:rPr>
          <w:rFonts w:ascii="標楷體" w:eastAsia="標楷體" w:hAnsi="標楷體" w:cs="細明體"/>
          <w:kern w:val="0"/>
          <w:szCs w:val="24"/>
        </w:rPr>
        <w:t>鉅</w:t>
      </w:r>
      <w:proofErr w:type="gramEnd"/>
      <w:r w:rsidRPr="006A0372">
        <w:rPr>
          <w:rFonts w:ascii="標楷體" w:eastAsia="標楷體" w:hAnsi="標楷體" w:cs="細明體"/>
          <w:kern w:val="0"/>
          <w:szCs w:val="24"/>
        </w:rPr>
        <w:t>。發展油茶產業，必須掌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握</w:t>
      </w:r>
      <w:r w:rsidRPr="006A0372">
        <w:rPr>
          <w:rFonts w:ascii="標楷體" w:eastAsia="標楷體" w:hAnsi="標楷體" w:cs="細明體"/>
          <w:kern w:val="0"/>
          <w:szCs w:val="24"/>
        </w:rPr>
        <w:t>穩產而油質優良的</w:t>
      </w:r>
      <w:proofErr w:type="gramStart"/>
      <w:r w:rsidRPr="006A0372">
        <w:rPr>
          <w:rFonts w:ascii="標楷體" w:eastAsia="標楷體" w:hAnsi="標楷體" w:cs="細明體"/>
          <w:kern w:val="0"/>
          <w:szCs w:val="24"/>
        </w:rPr>
        <w:t>採穗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母株</w:t>
      </w:r>
      <w:proofErr w:type="gramEnd"/>
      <w:r w:rsidRPr="006A0372">
        <w:rPr>
          <w:rFonts w:ascii="標楷體" w:eastAsia="標楷體" w:hAnsi="標楷體" w:cs="細明體" w:hint="eastAsia"/>
          <w:kern w:val="0"/>
          <w:szCs w:val="24"/>
        </w:rPr>
        <w:t>，並採用無性繁殖技術，方能保有整齊一致的種苗</w:t>
      </w:r>
      <w:r w:rsidRPr="006A0372">
        <w:rPr>
          <w:rFonts w:ascii="標楷體" w:eastAsia="標楷體" w:hAnsi="標楷體" w:cs="細明體"/>
          <w:kern w:val="0"/>
          <w:szCs w:val="24"/>
        </w:rPr>
        <w:t>，故篩選</w:t>
      </w:r>
      <w:proofErr w:type="gramStart"/>
      <w:r w:rsidRPr="006A0372">
        <w:rPr>
          <w:rFonts w:ascii="標楷體" w:eastAsia="標楷體" w:hAnsi="標楷體" w:cs="細明體"/>
          <w:kern w:val="0"/>
          <w:szCs w:val="24"/>
        </w:rPr>
        <w:t>採穗母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株至</w:t>
      </w:r>
      <w:proofErr w:type="gramEnd"/>
      <w:r w:rsidRPr="006A0372">
        <w:rPr>
          <w:rFonts w:ascii="標楷體" w:eastAsia="標楷體" w:hAnsi="標楷體" w:cs="細明體" w:hint="eastAsia"/>
          <w:kern w:val="0"/>
          <w:szCs w:val="24"/>
        </w:rPr>
        <w:t>關重要，可由自家植株篩選或其他來源</w:t>
      </w:r>
      <w:proofErr w:type="gramStart"/>
      <w:r w:rsidRPr="006A0372">
        <w:rPr>
          <w:rFonts w:ascii="標楷體" w:eastAsia="標楷體" w:hAnsi="標楷體" w:cs="細明體" w:hint="eastAsia"/>
          <w:kern w:val="0"/>
          <w:szCs w:val="24"/>
        </w:rPr>
        <w:t>優良母株進行採</w:t>
      </w:r>
      <w:proofErr w:type="gramEnd"/>
      <w:r w:rsidRPr="006A0372">
        <w:rPr>
          <w:rFonts w:ascii="標楷體" w:eastAsia="標楷體" w:hAnsi="標楷體" w:cs="細明體" w:hint="eastAsia"/>
          <w:kern w:val="0"/>
          <w:szCs w:val="24"/>
        </w:rPr>
        <w:t>穗，</w:t>
      </w:r>
      <w:r w:rsidRPr="006A0372">
        <w:rPr>
          <w:rFonts w:ascii="標楷體" w:eastAsia="標楷體" w:hAnsi="標楷體" w:cs="細明體"/>
          <w:kern w:val="0"/>
          <w:szCs w:val="24"/>
        </w:rPr>
        <w:t>通常以達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8年</w:t>
      </w:r>
      <w:proofErr w:type="gramStart"/>
      <w:r w:rsidRPr="006A0372">
        <w:rPr>
          <w:rFonts w:ascii="標楷體" w:eastAsia="標楷體" w:hAnsi="標楷體" w:cs="細明體" w:hint="eastAsia"/>
          <w:kern w:val="0"/>
          <w:szCs w:val="24"/>
        </w:rPr>
        <w:t>以上</w:t>
      </w:r>
      <w:r w:rsidRPr="006A0372">
        <w:rPr>
          <w:rFonts w:ascii="標楷體" w:eastAsia="標楷體" w:hAnsi="標楷體" w:cs="細明體"/>
          <w:kern w:val="0"/>
          <w:szCs w:val="24"/>
        </w:rPr>
        <w:t>熟產的株齡</w:t>
      </w:r>
      <w:proofErr w:type="gramEnd"/>
      <w:r w:rsidRPr="006A0372">
        <w:rPr>
          <w:rFonts w:ascii="標楷體" w:eastAsia="標楷體" w:hAnsi="標楷體" w:cs="細明體"/>
          <w:kern w:val="0"/>
          <w:szCs w:val="24"/>
        </w:rPr>
        <w:t>植株，篩選高</w:t>
      </w:r>
      <w:proofErr w:type="gramStart"/>
      <w:r w:rsidRPr="006A0372">
        <w:rPr>
          <w:rFonts w:ascii="標楷體" w:eastAsia="標楷體" w:hAnsi="標楷體" w:cs="細明體"/>
          <w:kern w:val="0"/>
          <w:szCs w:val="24"/>
        </w:rPr>
        <w:t>產且生長勢佳</w:t>
      </w:r>
      <w:proofErr w:type="gramEnd"/>
      <w:r w:rsidRPr="006A0372">
        <w:rPr>
          <w:rFonts w:ascii="標楷體" w:eastAsia="標楷體" w:hAnsi="標楷體" w:cs="細明體"/>
          <w:kern w:val="0"/>
          <w:szCs w:val="24"/>
        </w:rPr>
        <w:t>的單株，再經2-3年評估具產量穩定、</w:t>
      </w:r>
      <w:proofErr w:type="gramStart"/>
      <w:r w:rsidRPr="006A0372">
        <w:rPr>
          <w:rFonts w:ascii="標楷體" w:eastAsia="標楷體" w:hAnsi="標楷體" w:cs="細明體"/>
          <w:kern w:val="0"/>
          <w:szCs w:val="24"/>
        </w:rPr>
        <w:t>鮮出籽率</w:t>
      </w:r>
      <w:proofErr w:type="gramEnd"/>
      <w:r w:rsidRPr="006A0372">
        <w:rPr>
          <w:rFonts w:ascii="標楷體" w:eastAsia="標楷體" w:hAnsi="標楷體" w:cs="細明體"/>
          <w:kern w:val="0"/>
          <w:szCs w:val="24"/>
        </w:rPr>
        <w:t>高、病蟲害發生率低、果實</w:t>
      </w:r>
      <w:proofErr w:type="gramStart"/>
      <w:r w:rsidRPr="006A0372">
        <w:rPr>
          <w:rFonts w:ascii="標楷體" w:eastAsia="標楷體" w:hAnsi="標楷體" w:cs="細明體"/>
          <w:kern w:val="0"/>
          <w:szCs w:val="24"/>
        </w:rPr>
        <w:t>易剝性</w:t>
      </w:r>
      <w:proofErr w:type="gramEnd"/>
      <w:r w:rsidRPr="006A0372">
        <w:rPr>
          <w:rFonts w:ascii="標楷體" w:eastAsia="標楷體" w:hAnsi="標楷體" w:cs="細明體"/>
          <w:kern w:val="0"/>
          <w:szCs w:val="24"/>
        </w:rPr>
        <w:t>、</w:t>
      </w:r>
      <w:proofErr w:type="gramStart"/>
      <w:r w:rsidRPr="006A0372">
        <w:rPr>
          <w:rFonts w:ascii="標楷體" w:eastAsia="標楷體" w:hAnsi="標楷體" w:cs="細明體"/>
          <w:kern w:val="0"/>
          <w:szCs w:val="24"/>
        </w:rPr>
        <w:t>出油率高</w:t>
      </w:r>
      <w:proofErr w:type="gramEnd"/>
      <w:r w:rsidRPr="006A0372">
        <w:rPr>
          <w:rFonts w:ascii="標楷體" w:eastAsia="標楷體" w:hAnsi="標楷體" w:cs="細明體"/>
          <w:kern w:val="0"/>
          <w:szCs w:val="24"/>
        </w:rPr>
        <w:t>、單株產量可達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25</w:t>
      </w:r>
      <w:r w:rsidRPr="006A0372">
        <w:rPr>
          <w:rFonts w:ascii="標楷體" w:eastAsia="標楷體" w:hAnsi="標楷體" w:cs="細明體"/>
          <w:kern w:val="0"/>
          <w:szCs w:val="24"/>
        </w:rPr>
        <w:t>公斤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(</w:t>
      </w:r>
      <w:proofErr w:type="gramStart"/>
      <w:r w:rsidRPr="006A0372">
        <w:rPr>
          <w:rFonts w:ascii="標楷體" w:eastAsia="標楷體" w:hAnsi="標楷體" w:cs="細明體" w:hint="eastAsia"/>
          <w:kern w:val="0"/>
          <w:szCs w:val="24"/>
        </w:rPr>
        <w:t>大果種</w:t>
      </w:r>
      <w:proofErr w:type="gramEnd"/>
      <w:r w:rsidRPr="006A0372">
        <w:rPr>
          <w:rFonts w:ascii="標楷體" w:eastAsia="標楷體" w:hAnsi="標楷體" w:cs="細明體" w:hint="eastAsia"/>
          <w:kern w:val="0"/>
          <w:szCs w:val="24"/>
        </w:rPr>
        <w:t>)</w:t>
      </w:r>
      <w:r w:rsidRPr="006A0372">
        <w:rPr>
          <w:rFonts w:ascii="標楷體" w:eastAsia="標楷體" w:hAnsi="標楷體" w:cs="細明體"/>
          <w:kern w:val="0"/>
          <w:szCs w:val="24"/>
        </w:rPr>
        <w:t>以上者，可供為</w:t>
      </w:r>
      <w:proofErr w:type="gramStart"/>
      <w:r w:rsidRPr="006A0372">
        <w:rPr>
          <w:rFonts w:ascii="標楷體" w:eastAsia="標楷體" w:hAnsi="標楷體" w:cs="細明體"/>
          <w:kern w:val="0"/>
          <w:szCs w:val="24"/>
        </w:rPr>
        <w:t>採穗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母株</w:t>
      </w:r>
      <w:proofErr w:type="gramEnd"/>
      <w:r w:rsidRPr="006A0372">
        <w:rPr>
          <w:rFonts w:ascii="標楷體" w:eastAsia="標楷體" w:hAnsi="標楷體" w:cs="細明體"/>
          <w:kern w:val="0"/>
          <w:szCs w:val="24"/>
        </w:rPr>
        <w:t>。為採取量多的接穗，前一年的養水分必須供應足夠，以備來年可得到芽體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飽滿</w:t>
      </w:r>
      <w:proofErr w:type="gramStart"/>
      <w:r w:rsidRPr="006A0372">
        <w:rPr>
          <w:rFonts w:ascii="標楷體" w:eastAsia="標楷體" w:hAnsi="標楷體" w:cs="細明體" w:hint="eastAsia"/>
          <w:kern w:val="0"/>
          <w:szCs w:val="24"/>
        </w:rPr>
        <w:t>及芽數多的穗條</w:t>
      </w:r>
      <w:proofErr w:type="gramEnd"/>
      <w:r w:rsidRPr="006A0372">
        <w:rPr>
          <w:rFonts w:ascii="標楷體" w:eastAsia="標楷體" w:hAnsi="標楷體" w:cs="細明體"/>
          <w:kern w:val="0"/>
          <w:szCs w:val="24"/>
        </w:rPr>
        <w:t>，方可於</w:t>
      </w:r>
      <w:proofErr w:type="gramStart"/>
      <w:r w:rsidRPr="006A0372">
        <w:rPr>
          <w:rFonts w:ascii="標楷體" w:eastAsia="標楷體" w:hAnsi="標楷體" w:cs="細明體"/>
          <w:kern w:val="0"/>
          <w:szCs w:val="24"/>
        </w:rPr>
        <w:t>5月份穗條</w:t>
      </w:r>
      <w:proofErr w:type="gramEnd"/>
      <w:r w:rsidRPr="006A0372">
        <w:rPr>
          <w:rFonts w:ascii="標楷體" w:eastAsia="標楷體" w:hAnsi="標楷體" w:cs="細明體"/>
          <w:kern w:val="0"/>
          <w:szCs w:val="24"/>
        </w:rPr>
        <w:t>處於半木質化程度時</w:t>
      </w:r>
      <w:proofErr w:type="gramStart"/>
      <w:r w:rsidRPr="006A0372">
        <w:rPr>
          <w:rFonts w:ascii="標楷體" w:eastAsia="標楷體" w:hAnsi="標楷體" w:cs="細明體"/>
          <w:kern w:val="0"/>
          <w:szCs w:val="24"/>
        </w:rPr>
        <w:t>採穗並</w:t>
      </w:r>
      <w:proofErr w:type="gramEnd"/>
      <w:r w:rsidRPr="006A0372">
        <w:rPr>
          <w:rFonts w:ascii="標楷體" w:eastAsia="標楷體" w:hAnsi="標楷體" w:cs="細明體"/>
          <w:kern w:val="0"/>
          <w:szCs w:val="24"/>
        </w:rPr>
        <w:t>進行胚軸嫁接繁殖。</w:t>
      </w:r>
      <w:proofErr w:type="gramStart"/>
      <w:r w:rsidRPr="006A0372">
        <w:rPr>
          <w:rFonts w:ascii="標楷體" w:eastAsia="標楷體" w:hAnsi="標楷體" w:cs="細明體"/>
          <w:kern w:val="0"/>
          <w:szCs w:val="24"/>
        </w:rPr>
        <w:t>採</w:t>
      </w:r>
      <w:proofErr w:type="gramEnd"/>
      <w:r w:rsidRPr="006A0372">
        <w:rPr>
          <w:rFonts w:ascii="標楷體" w:eastAsia="標楷體" w:hAnsi="標楷體" w:cs="細明體"/>
          <w:kern w:val="0"/>
          <w:szCs w:val="24"/>
        </w:rPr>
        <w:t>穗時間最好於早上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10時以前完成，</w:t>
      </w:r>
      <w:proofErr w:type="gramStart"/>
      <w:r w:rsidRPr="006A0372">
        <w:rPr>
          <w:rFonts w:ascii="標楷體" w:eastAsia="標楷體" w:hAnsi="標楷體" w:cs="細明體" w:hint="eastAsia"/>
          <w:kern w:val="0"/>
          <w:szCs w:val="24"/>
        </w:rPr>
        <w:t>採穗量</w:t>
      </w:r>
      <w:proofErr w:type="gramEnd"/>
      <w:r w:rsidRPr="006A0372">
        <w:rPr>
          <w:rFonts w:ascii="標楷體" w:eastAsia="標楷體" w:hAnsi="標楷體" w:cs="細明體" w:hint="eastAsia"/>
          <w:kern w:val="0"/>
          <w:szCs w:val="24"/>
        </w:rPr>
        <w:t>依據每天需用量而定。</w:t>
      </w:r>
      <w:proofErr w:type="gramStart"/>
      <w:r w:rsidRPr="006A0372">
        <w:rPr>
          <w:rFonts w:ascii="標楷體" w:eastAsia="標楷體" w:hAnsi="標楷體" w:cs="細明體" w:hint="eastAsia"/>
          <w:kern w:val="0"/>
          <w:szCs w:val="24"/>
        </w:rPr>
        <w:t>採</w:t>
      </w:r>
      <w:proofErr w:type="gramEnd"/>
      <w:r w:rsidRPr="006A0372">
        <w:rPr>
          <w:rFonts w:ascii="標楷體" w:eastAsia="標楷體" w:hAnsi="標楷體" w:cs="細明體" w:hint="eastAsia"/>
          <w:kern w:val="0"/>
          <w:szCs w:val="24"/>
        </w:rPr>
        <w:t>穗時以樹冠中上層光照充足、粗壯飽滿且無病蟲害的</w:t>
      </w:r>
      <w:proofErr w:type="gramStart"/>
      <w:r w:rsidRPr="006A0372">
        <w:rPr>
          <w:rFonts w:ascii="標楷體" w:eastAsia="標楷體" w:hAnsi="標楷體" w:cs="細明體" w:hint="eastAsia"/>
          <w:kern w:val="0"/>
          <w:szCs w:val="24"/>
        </w:rPr>
        <w:t>當年生半木質</w:t>
      </w:r>
      <w:proofErr w:type="gramEnd"/>
      <w:r w:rsidRPr="006A0372">
        <w:rPr>
          <w:rFonts w:ascii="標楷體" w:eastAsia="標楷體" w:hAnsi="標楷體" w:cs="細明體" w:hint="eastAsia"/>
          <w:kern w:val="0"/>
          <w:szCs w:val="24"/>
        </w:rPr>
        <w:t>化新梢為主</w:t>
      </w:r>
      <w:r w:rsidR="00BC4EAE" w:rsidRPr="006A0372">
        <w:rPr>
          <w:rFonts w:ascii="標楷體" w:eastAsia="標楷體" w:hAnsi="標楷體" w:cs="細明體" w:hint="eastAsia"/>
          <w:kern w:val="0"/>
          <w:szCs w:val="24"/>
        </w:rPr>
        <w:t>並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以當天現</w:t>
      </w:r>
      <w:proofErr w:type="gramStart"/>
      <w:r w:rsidRPr="006A0372">
        <w:rPr>
          <w:rFonts w:ascii="標楷體" w:eastAsia="標楷體" w:hAnsi="標楷體" w:cs="細明體" w:hint="eastAsia"/>
          <w:kern w:val="0"/>
          <w:szCs w:val="24"/>
        </w:rPr>
        <w:t>採</w:t>
      </w:r>
      <w:proofErr w:type="gramEnd"/>
      <w:r w:rsidRPr="006A0372">
        <w:rPr>
          <w:rFonts w:ascii="標楷體" w:eastAsia="標楷體" w:hAnsi="標楷體" w:cs="細明體" w:hint="eastAsia"/>
          <w:kern w:val="0"/>
          <w:szCs w:val="24"/>
        </w:rPr>
        <w:t>現切之接穗為佳。</w:t>
      </w:r>
    </w:p>
    <w:sectPr w:rsidR="007F4E2A" w:rsidRPr="006A0372" w:rsidSect="002A1B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1A4" w:rsidRDefault="009901A4" w:rsidP="00652C91">
      <w:r>
        <w:separator/>
      </w:r>
    </w:p>
  </w:endnote>
  <w:endnote w:type="continuationSeparator" w:id="0">
    <w:p w:rsidR="009901A4" w:rsidRDefault="009901A4" w:rsidP="00652C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MingLiu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panose1 w:val="00000000000000000000"/>
    <w:charset w:val="00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1A4" w:rsidRDefault="009901A4" w:rsidP="00652C91">
      <w:r>
        <w:separator/>
      </w:r>
    </w:p>
  </w:footnote>
  <w:footnote w:type="continuationSeparator" w:id="0">
    <w:p w:rsidR="009901A4" w:rsidRDefault="009901A4" w:rsidP="00652C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A0D02"/>
    <w:multiLevelType w:val="hybridMultilevel"/>
    <w:tmpl w:val="CEFAC4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FF14FA3"/>
    <w:multiLevelType w:val="hybridMultilevel"/>
    <w:tmpl w:val="CDE8F410"/>
    <w:lvl w:ilvl="0" w:tplc="0EC2690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0151"/>
    <w:rsid w:val="000125D3"/>
    <w:rsid w:val="00075639"/>
    <w:rsid w:val="00102E21"/>
    <w:rsid w:val="002827DC"/>
    <w:rsid w:val="002A1B17"/>
    <w:rsid w:val="00336E18"/>
    <w:rsid w:val="003F42D5"/>
    <w:rsid w:val="00401189"/>
    <w:rsid w:val="00443ED1"/>
    <w:rsid w:val="0045591D"/>
    <w:rsid w:val="00476D16"/>
    <w:rsid w:val="00557255"/>
    <w:rsid w:val="005F25D7"/>
    <w:rsid w:val="00652C91"/>
    <w:rsid w:val="006A0372"/>
    <w:rsid w:val="006E0A2E"/>
    <w:rsid w:val="00703679"/>
    <w:rsid w:val="007200B3"/>
    <w:rsid w:val="007E2634"/>
    <w:rsid w:val="007F4E2A"/>
    <w:rsid w:val="00820EA3"/>
    <w:rsid w:val="008810FB"/>
    <w:rsid w:val="009901A4"/>
    <w:rsid w:val="00A3606C"/>
    <w:rsid w:val="00B56093"/>
    <w:rsid w:val="00B640F0"/>
    <w:rsid w:val="00BC4EAE"/>
    <w:rsid w:val="00BD1E77"/>
    <w:rsid w:val="00C55ABC"/>
    <w:rsid w:val="00C80151"/>
    <w:rsid w:val="00C83098"/>
    <w:rsid w:val="00C871D1"/>
    <w:rsid w:val="00D04B7F"/>
    <w:rsid w:val="00D14E26"/>
    <w:rsid w:val="00D948AA"/>
    <w:rsid w:val="00DB49F5"/>
    <w:rsid w:val="00DD6E1C"/>
    <w:rsid w:val="00E04CC9"/>
    <w:rsid w:val="00F121FA"/>
    <w:rsid w:val="00FA5238"/>
    <w:rsid w:val="00FC6108"/>
    <w:rsid w:val="00FD0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67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151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652C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652C91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652C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652C91"/>
    <w:rPr>
      <w:sz w:val="20"/>
      <w:szCs w:val="20"/>
    </w:rPr>
  </w:style>
  <w:style w:type="paragraph" w:customStyle="1" w:styleId="Default">
    <w:name w:val="Default"/>
    <w:rsid w:val="000125D3"/>
    <w:pPr>
      <w:widowControl w:val="0"/>
      <w:autoSpaceDE w:val="0"/>
      <w:autoSpaceDN w:val="0"/>
      <w:adjustRightInd w:val="0"/>
    </w:pPr>
    <w:rPr>
      <w:rFonts w:ascii="PMingLiu" w:eastAsia="新細明體" w:hAnsi="PMingLiu" w:cs="PMingLiu"/>
      <w:color w:val="000000"/>
      <w:kern w:val="0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121F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F121FA"/>
    <w:rPr>
      <w:rFonts w:ascii="細明體" w:eastAsia="細明體" w:hAnsi="細明體" w:cs="細明體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20E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20E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6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707883-884E-4855-B69F-56FE9686F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iflo88</dc:creator>
  <cp:lastModifiedBy>iflo88</cp:lastModifiedBy>
  <cp:revision>3</cp:revision>
  <dcterms:created xsi:type="dcterms:W3CDTF">2023-11-30T08:39:00Z</dcterms:created>
  <dcterms:modified xsi:type="dcterms:W3CDTF">2023-11-30T08:39:00Z</dcterms:modified>
</cp:coreProperties>
</file>