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57" w:rsidRPr="00E47E43" w:rsidRDefault="005106B5" w:rsidP="00DD6599">
      <w:pPr>
        <w:jc w:val="center"/>
        <w:rPr>
          <w:rFonts w:ascii="微軟正黑體" w:eastAsia="微軟正黑體" w:hAnsi="微軟正黑體" w:cs="Times New Roman"/>
          <w:b/>
        </w:rPr>
      </w:pPr>
      <w:r w:rsidRPr="00E47E43">
        <w:rPr>
          <w:rFonts w:ascii="微軟正黑體" w:eastAsia="微軟正黑體" w:hAnsi="微軟正黑體" w:cs="Times New Roman"/>
          <w:b/>
        </w:rPr>
        <w:t>新興油料作物-</w:t>
      </w:r>
      <w:r w:rsidR="008B29EA" w:rsidRPr="00E47E43">
        <w:rPr>
          <w:rFonts w:ascii="微軟正黑體" w:eastAsia="微軟正黑體" w:hAnsi="微軟正黑體" w:cs="Times New Roman"/>
          <w:b/>
        </w:rPr>
        <w:t>印加果</w:t>
      </w:r>
      <w:r w:rsidR="00275657" w:rsidRPr="00E47E43">
        <w:rPr>
          <w:rFonts w:ascii="微軟正黑體" w:eastAsia="微軟正黑體" w:hAnsi="微軟正黑體" w:cs="Times New Roman"/>
          <w:b/>
        </w:rPr>
        <w:t>簡介</w:t>
      </w:r>
    </w:p>
    <w:p w:rsidR="00DD6599" w:rsidRPr="00E47E43" w:rsidRDefault="00DD6599" w:rsidP="00DD6599">
      <w:pPr>
        <w:jc w:val="center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羅英妃</w:t>
      </w:r>
    </w:p>
    <w:p w:rsidR="00275657" w:rsidRPr="00E47E43" w:rsidRDefault="008B29EA" w:rsidP="00DD6599">
      <w:pPr>
        <w:jc w:val="center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前言</w:t>
      </w:r>
    </w:p>
    <w:p w:rsidR="00DD6599" w:rsidRPr="00E47E43" w:rsidRDefault="00CE3B75" w:rsidP="005106B5">
      <w:pPr>
        <w:autoSpaceDE w:val="0"/>
        <w:autoSpaceDN w:val="0"/>
        <w:adjustRightInd w:val="0"/>
        <w:ind w:firstLineChars="177" w:firstLine="425"/>
        <w:rPr>
          <w:rFonts w:ascii="微軟正黑體" w:eastAsia="微軟正黑體" w:hAnsi="微軟正黑體" w:cs="Times New Roman"/>
          <w:color w:val="222222"/>
          <w:szCs w:val="24"/>
        </w:rPr>
      </w:pPr>
      <w:proofErr w:type="gram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印加果</w:t>
      </w:r>
      <w:proofErr w:type="gramEnd"/>
      <w:r w:rsidRPr="00E47E43">
        <w:rPr>
          <w:rFonts w:ascii="微軟正黑體" w:eastAsia="微軟正黑體" w:hAnsi="微軟正黑體" w:cs="Times New Roman"/>
          <w:color w:val="222222"/>
          <w:szCs w:val="24"/>
        </w:rPr>
        <w:t>（</w:t>
      </w:r>
      <w:proofErr w:type="spellStart"/>
      <w:r w:rsidRPr="00E47E43">
        <w:rPr>
          <w:rFonts w:ascii="微軟正黑體" w:eastAsia="微軟正黑體" w:hAnsi="微軟正黑體" w:cs="Times New Roman"/>
          <w:i/>
          <w:color w:val="222222"/>
          <w:szCs w:val="24"/>
        </w:rPr>
        <w:t>Plukenetia</w:t>
      </w:r>
      <w:proofErr w:type="spellEnd"/>
      <w:r w:rsidRPr="00E47E43">
        <w:rPr>
          <w:rFonts w:ascii="微軟正黑體" w:eastAsia="微軟正黑體" w:hAnsi="微軟正黑體" w:cs="Times New Roman"/>
          <w:i/>
          <w:color w:val="222222"/>
          <w:szCs w:val="24"/>
        </w:rPr>
        <w:t xml:space="preserve"> </w:t>
      </w:r>
      <w:proofErr w:type="spellStart"/>
      <w:r w:rsidRPr="00E47E43">
        <w:rPr>
          <w:rFonts w:ascii="微軟正黑體" w:eastAsia="微軟正黑體" w:hAnsi="微軟正黑體" w:cs="Times New Roman"/>
          <w:i/>
          <w:color w:val="222222"/>
          <w:szCs w:val="24"/>
        </w:rPr>
        <w:t>volubilis</w:t>
      </w:r>
      <w:proofErr w:type="spellEnd"/>
      <w:r w:rsidRPr="00E47E43">
        <w:rPr>
          <w:rFonts w:ascii="微軟正黑體" w:eastAsia="微軟正黑體" w:hAnsi="微軟正黑體" w:cs="Times New Roman"/>
          <w:color w:val="222222"/>
          <w:szCs w:val="24"/>
        </w:rPr>
        <w:t>）又</w:t>
      </w:r>
      <w:proofErr w:type="gram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名</w:t>
      </w:r>
      <w:r w:rsidR="005106B5" w:rsidRPr="00E47E43">
        <w:rPr>
          <w:rFonts w:ascii="微軟正黑體" w:eastAsia="微軟正黑體" w:hAnsi="微軟正黑體" w:cs="Times New Roman"/>
          <w:color w:val="222222"/>
          <w:szCs w:val="24"/>
        </w:rPr>
        <w:t>星果藤</w:t>
      </w:r>
      <w:proofErr w:type="gramEnd"/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、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印加花生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、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南美</w:t>
      </w:r>
      <w:proofErr w:type="gram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油藤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、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美藤果</w:t>
      </w:r>
      <w:proofErr w:type="gramEnd"/>
      <w:r w:rsidRPr="00E47E43">
        <w:rPr>
          <w:rFonts w:ascii="微軟正黑體" w:eastAsia="微軟正黑體" w:hAnsi="微軟正黑體" w:cs="Times New Roman"/>
          <w:color w:val="222222"/>
          <w:szCs w:val="24"/>
        </w:rPr>
        <w:t>等，具有星狀果實的藤本植物，原產於南美洲安地斯山脈的熱帶雨林區，主要分佈於秘魯和厄瓜多等國家，是屬於大戟科（</w:t>
      </w:r>
      <w:proofErr w:type="spell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Euphorbiaceae</w:t>
      </w:r>
      <w:proofErr w:type="spellEnd"/>
      <w:r w:rsidRPr="00E47E43">
        <w:rPr>
          <w:rFonts w:ascii="微軟正黑體" w:eastAsia="微軟正黑體" w:hAnsi="微軟正黑體" w:cs="Times New Roman"/>
          <w:color w:val="222222"/>
          <w:szCs w:val="24"/>
        </w:rPr>
        <w:t>）多年生常綠的藤本油料植物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，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種子富含油脂可供食用。食用油是日常生活中不可或缺的民生物資，再加上</w:t>
      </w:r>
      <w:proofErr w:type="gram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油品食安</w:t>
      </w:r>
      <w:proofErr w:type="gramEnd"/>
      <w:r w:rsidRPr="00E47E43">
        <w:rPr>
          <w:rFonts w:ascii="微軟正黑體" w:eastAsia="微軟正黑體" w:hAnsi="微軟正黑體" w:cs="Times New Roman"/>
          <w:color w:val="222222"/>
          <w:szCs w:val="24"/>
        </w:rPr>
        <w:t>問題及養身保健議題，使國人更加重視食用油的來源、種類及功效性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，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印</w:t>
      </w:r>
      <w:proofErr w:type="gram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加果會</w:t>
      </w:r>
      <w:proofErr w:type="gramEnd"/>
      <w:r w:rsidRPr="00E47E43">
        <w:rPr>
          <w:rFonts w:ascii="微軟正黑體" w:eastAsia="微軟正黑體" w:hAnsi="微軟正黑體" w:cs="Times New Roman"/>
          <w:color w:val="222222"/>
          <w:szCs w:val="24"/>
        </w:rPr>
        <w:t>成為目前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臺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灣新興油料作物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的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原因為含有高油脂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、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高蛋白及維生素E含量，且具有調整血脂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、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預防心血管疾病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、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保養肌膚等功效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，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再加上栽種容易，栽植一年</w:t>
      </w:r>
      <w:proofErr w:type="gram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即可開花結果</w:t>
      </w:r>
      <w:proofErr w:type="gramEnd"/>
      <w:r w:rsidRPr="00E47E43">
        <w:rPr>
          <w:rFonts w:ascii="微軟正黑體" w:eastAsia="微軟正黑體" w:hAnsi="微軟正黑體" w:cs="Times New Roman"/>
          <w:color w:val="222222"/>
          <w:szCs w:val="24"/>
        </w:rPr>
        <w:t>，第二年即可量化生產的特色，滿足現代人的需求及新興油料作物的開發條件，故本文</w:t>
      </w:r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簡單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介紹</w:t>
      </w:r>
      <w:proofErr w:type="gramStart"/>
      <w:r w:rsidRPr="00E47E43">
        <w:rPr>
          <w:rFonts w:ascii="微軟正黑體" w:eastAsia="微軟正黑體" w:hAnsi="微軟正黑體" w:cs="Times New Roman"/>
          <w:color w:val="222222"/>
          <w:szCs w:val="24"/>
        </w:rPr>
        <w:t>印加果的</w:t>
      </w:r>
      <w:proofErr w:type="gramEnd"/>
      <w:r w:rsidR="00235C1B" w:rsidRPr="00E47E43">
        <w:rPr>
          <w:rFonts w:ascii="微軟正黑體" w:eastAsia="微軟正黑體" w:hAnsi="微軟正黑體" w:cs="Times New Roman"/>
          <w:color w:val="222222"/>
          <w:szCs w:val="24"/>
        </w:rPr>
        <w:t>植物</w:t>
      </w:r>
      <w:r w:rsidR="0057704F" w:rsidRPr="00E47E43">
        <w:rPr>
          <w:rFonts w:ascii="微軟正黑體" w:eastAsia="微軟正黑體" w:hAnsi="微軟正黑體" w:cs="Times New Roman"/>
          <w:color w:val="222222"/>
          <w:szCs w:val="24"/>
        </w:rPr>
        <w:t>形態、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油料成分及栽培</w:t>
      </w:r>
      <w:r w:rsidR="0057704F" w:rsidRPr="00E47E43">
        <w:rPr>
          <w:rFonts w:ascii="微軟正黑體" w:eastAsia="微軟正黑體" w:hAnsi="微軟正黑體" w:cs="Times New Roman"/>
          <w:color w:val="222222"/>
          <w:szCs w:val="24"/>
        </w:rPr>
        <w:t>環境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等，供國人及生產者參考。</w:t>
      </w:r>
    </w:p>
    <w:p w:rsidR="0057704F" w:rsidRPr="00E47E43" w:rsidRDefault="0057704F" w:rsidP="005106B5">
      <w:pPr>
        <w:autoSpaceDE w:val="0"/>
        <w:autoSpaceDN w:val="0"/>
        <w:adjustRightInd w:val="0"/>
        <w:ind w:firstLineChars="177" w:firstLine="425"/>
        <w:rPr>
          <w:rFonts w:ascii="微軟正黑體" w:eastAsia="微軟正黑體" w:hAnsi="微軟正黑體" w:cs="Times New Roman"/>
          <w:color w:val="222222"/>
          <w:szCs w:val="24"/>
        </w:rPr>
      </w:pPr>
    </w:p>
    <w:p w:rsidR="00CE3B75" w:rsidRPr="00E47E43" w:rsidRDefault="00D162B7" w:rsidP="00B42DB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Times New Roman"/>
          <w:color w:val="000000"/>
          <w:kern w:val="0"/>
          <w:szCs w:val="24"/>
        </w:rPr>
      </w:pPr>
      <w:r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植物形態及特性</w:t>
      </w:r>
    </w:p>
    <w:p w:rsidR="00B42DBC" w:rsidRPr="00E47E43" w:rsidRDefault="00B42DBC" w:rsidP="00260AC5">
      <w:pPr>
        <w:pStyle w:val="a3"/>
        <w:autoSpaceDE w:val="0"/>
        <w:autoSpaceDN w:val="0"/>
        <w:adjustRightInd w:val="0"/>
        <w:ind w:leftChars="0" w:left="0" w:firstLineChars="177" w:firstLine="425"/>
        <w:rPr>
          <w:rFonts w:ascii="微軟正黑體" w:eastAsia="微軟正黑體" w:hAnsi="微軟正黑體" w:cs="Times New Roman"/>
          <w:color w:val="000000"/>
          <w:kern w:val="0"/>
          <w:szCs w:val="24"/>
        </w:rPr>
      </w:pPr>
      <w:r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印加果是原生於熱帶雨林的多年生</w:t>
      </w:r>
      <w:r w:rsidR="000176F6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藤本植物，葉片呈心形、葉面稍有皺摺</w:t>
      </w:r>
      <w:r w:rsidR="00E6442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。開花習性為雌雄同株，雄花</w:t>
      </w:r>
      <w:r w:rsidR="000176F6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為總狀花序，</w:t>
      </w:r>
      <w:r w:rsidR="002E4E61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開白色小花，</w:t>
      </w:r>
      <w:proofErr w:type="gramStart"/>
      <w:r w:rsidR="00E6442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雌花著</w:t>
      </w:r>
      <w:r w:rsidR="002E4E61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生於</w:t>
      </w:r>
      <w:r w:rsidR="00E6442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雄花</w:t>
      </w:r>
      <w:r w:rsidR="002E4E61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序基部的</w:t>
      </w:r>
      <w:r w:rsidR="00E6442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側面</w:t>
      </w:r>
      <w:proofErr w:type="gramEnd"/>
      <w:r w:rsidR="00E6442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，一般有1-3朵。果實為蒴果，蒴果</w:t>
      </w:r>
      <w:proofErr w:type="gramStart"/>
      <w:r w:rsidR="00E6442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從著</w:t>
      </w:r>
      <w:proofErr w:type="gramEnd"/>
      <w:r w:rsidR="00E6442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果到成熟約4個月，蒴果成熟前為綠色，</w:t>
      </w:r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成熟後</w:t>
      </w:r>
      <w:r w:rsidR="00260AC5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呈</w:t>
      </w:r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褐色。果實通常有4-6個菱角，曬乾後每</w:t>
      </w:r>
      <w:proofErr w:type="gramStart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個</w:t>
      </w:r>
      <w:proofErr w:type="gramEnd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菱角</w:t>
      </w:r>
      <w:proofErr w:type="gramStart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開裂時可以</w:t>
      </w:r>
      <w:proofErr w:type="gramEnd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看到</w:t>
      </w:r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lastRenderedPageBreak/>
        <w:t>1粒種子，種子呈扁圓型</w:t>
      </w:r>
      <w:r w:rsidR="00260AC5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、</w:t>
      </w:r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褐色，乾果重約7-9g，單粒種子約1-1.3g，種仁白色，</w:t>
      </w:r>
      <w:proofErr w:type="gramStart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佔</w:t>
      </w:r>
      <w:proofErr w:type="gramEnd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種子重約65%，</w:t>
      </w:r>
      <w:proofErr w:type="gramStart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含油率約</w:t>
      </w:r>
      <w:proofErr w:type="gramEnd"/>
      <w:r w:rsidR="001D646C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45%</w:t>
      </w:r>
      <w:r w:rsidR="00997029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(</w:t>
      </w:r>
      <w:proofErr w:type="gramStart"/>
      <w:r w:rsidR="00997029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龔</w:t>
      </w:r>
      <w:proofErr w:type="gramEnd"/>
      <w:r w:rsidR="00997029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等人，2013)。</w:t>
      </w:r>
    </w:p>
    <w:p w:rsidR="00CB0B51" w:rsidRPr="00E47E43" w:rsidRDefault="00CB0B51" w:rsidP="00260AC5">
      <w:pPr>
        <w:pStyle w:val="a3"/>
        <w:autoSpaceDE w:val="0"/>
        <w:autoSpaceDN w:val="0"/>
        <w:adjustRightInd w:val="0"/>
        <w:ind w:leftChars="0" w:left="0" w:firstLineChars="177" w:firstLine="425"/>
        <w:rPr>
          <w:rFonts w:ascii="微軟正黑體" w:eastAsia="微軟正黑體" w:hAnsi="微軟正黑體" w:cs="Times New Roman"/>
          <w:color w:val="000000"/>
          <w:kern w:val="0"/>
          <w:szCs w:val="24"/>
        </w:rPr>
      </w:pPr>
    </w:p>
    <w:p w:rsidR="00D162B7" w:rsidRPr="00E47E43" w:rsidRDefault="00D162B7" w:rsidP="00B42DB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Times New Roman"/>
          <w:color w:val="000000"/>
          <w:kern w:val="0"/>
          <w:szCs w:val="24"/>
        </w:rPr>
      </w:pPr>
      <w:r w:rsidRPr="00E47E43">
        <w:rPr>
          <w:rFonts w:ascii="微軟正黑體" w:eastAsia="微軟正黑體" w:hAnsi="微軟正黑體" w:cs="Times New Roman"/>
        </w:rPr>
        <w:t>油料成分</w:t>
      </w:r>
      <w:r w:rsidR="00B42DBC" w:rsidRPr="00E47E43">
        <w:rPr>
          <w:rFonts w:ascii="微軟正黑體" w:eastAsia="微軟正黑體" w:hAnsi="微軟正黑體" w:cs="Times New Roman"/>
        </w:rPr>
        <w:t>及功效</w:t>
      </w:r>
    </w:p>
    <w:p w:rsidR="008549B7" w:rsidRPr="00E47E43" w:rsidRDefault="00D162B7" w:rsidP="00CB0B51">
      <w:pPr>
        <w:pStyle w:val="a3"/>
        <w:autoSpaceDE w:val="0"/>
        <w:autoSpaceDN w:val="0"/>
        <w:adjustRightInd w:val="0"/>
        <w:ind w:leftChars="0" w:left="0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(</w:t>
      </w:r>
      <w:proofErr w:type="gramStart"/>
      <w:r w:rsidRPr="00E47E43">
        <w:rPr>
          <w:rFonts w:ascii="微軟正黑體" w:eastAsia="微軟正黑體" w:hAnsi="微軟正黑體" w:cs="Times New Roman"/>
        </w:rPr>
        <w:t>一</w:t>
      </w:r>
      <w:proofErr w:type="gramEnd"/>
      <w:r w:rsidRPr="00E47E43">
        <w:rPr>
          <w:rFonts w:ascii="微軟正黑體" w:eastAsia="微軟正黑體" w:hAnsi="微軟正黑體" w:cs="Times New Roman"/>
        </w:rPr>
        <w:t>)</w:t>
      </w:r>
      <w:r w:rsidR="008549B7" w:rsidRPr="00E47E43">
        <w:rPr>
          <w:rFonts w:ascii="微軟正黑體" w:eastAsia="微軟正黑體" w:hAnsi="微軟正黑體" w:cs="Times New Roman"/>
        </w:rPr>
        <w:t>種仁成分</w:t>
      </w:r>
    </w:p>
    <w:p w:rsidR="008549B7" w:rsidRPr="00E47E43" w:rsidRDefault="00C26DF5" w:rsidP="00CB0B51">
      <w:pPr>
        <w:pStyle w:val="a3"/>
        <w:autoSpaceDE w:val="0"/>
        <w:autoSpaceDN w:val="0"/>
        <w:adjustRightInd w:val="0"/>
        <w:ind w:leftChars="0" w:left="0" w:firstLineChars="177" w:firstLine="425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植株開花授粉後，果實開始發育，</w:t>
      </w:r>
      <w:r w:rsidR="005E23EC" w:rsidRPr="00E47E43">
        <w:rPr>
          <w:rFonts w:ascii="微軟正黑體" w:eastAsia="微軟正黑體" w:hAnsi="微軟正黑體" w:cs="Times New Roman"/>
        </w:rPr>
        <w:t>其</w:t>
      </w:r>
      <w:r w:rsidR="00CB0B51" w:rsidRPr="00E47E43">
        <w:rPr>
          <w:rFonts w:ascii="微軟正黑體" w:eastAsia="微軟正黑體" w:hAnsi="微軟正黑體" w:cs="Times New Roman"/>
        </w:rPr>
        <w:t>內</w:t>
      </w:r>
      <w:r w:rsidR="005E23EC" w:rsidRPr="00E47E43">
        <w:rPr>
          <w:rFonts w:ascii="微軟正黑體" w:eastAsia="微軟正黑體" w:hAnsi="微軟正黑體" w:cs="Times New Roman"/>
        </w:rPr>
        <w:t>的</w:t>
      </w:r>
      <w:r w:rsidRPr="00E47E43">
        <w:rPr>
          <w:rFonts w:ascii="微軟正黑體" w:eastAsia="微軟正黑體" w:hAnsi="微軟正黑體" w:cs="Times New Roman"/>
        </w:rPr>
        <w:t>種子是一個</w:t>
      </w:r>
      <w:r w:rsidR="005E23EC" w:rsidRPr="00E47E43">
        <w:rPr>
          <w:rFonts w:ascii="微軟正黑體" w:eastAsia="微軟正黑體" w:hAnsi="微軟正黑體" w:cs="Times New Roman"/>
        </w:rPr>
        <w:t>很大的</w:t>
      </w:r>
      <w:r w:rsidRPr="00E47E43">
        <w:rPr>
          <w:rFonts w:ascii="微軟正黑體" w:eastAsia="微軟正黑體" w:hAnsi="微軟正黑體" w:cs="Times New Roman"/>
        </w:rPr>
        <w:t>積儲(sink)器官，</w:t>
      </w:r>
      <w:r w:rsidR="00CB0B51" w:rsidRPr="00E47E43">
        <w:rPr>
          <w:rFonts w:ascii="微軟正黑體" w:eastAsia="微軟正黑體" w:hAnsi="微軟正黑體" w:cs="Times New Roman"/>
        </w:rPr>
        <w:t>於</w:t>
      </w:r>
      <w:r w:rsidR="005E23EC" w:rsidRPr="00E47E43">
        <w:rPr>
          <w:rFonts w:ascii="微軟正黑體" w:eastAsia="微軟正黑體" w:hAnsi="微軟正黑體" w:cs="Times New Roman"/>
        </w:rPr>
        <w:t>生</w:t>
      </w:r>
      <w:r w:rsidR="00CB0B51" w:rsidRPr="00E47E43">
        <w:rPr>
          <w:rFonts w:ascii="微軟正黑體" w:eastAsia="微軟正黑體" w:hAnsi="微軟正黑體" w:cs="Times New Roman"/>
        </w:rPr>
        <w:t>育</w:t>
      </w:r>
      <w:r w:rsidR="005E23EC" w:rsidRPr="00E47E43">
        <w:rPr>
          <w:rFonts w:ascii="微軟正黑體" w:eastAsia="微軟正黑體" w:hAnsi="微軟正黑體" w:cs="Times New Roman"/>
        </w:rPr>
        <w:t>過程中不斷</w:t>
      </w:r>
      <w:r w:rsidRPr="00E47E43">
        <w:rPr>
          <w:rFonts w:ascii="微軟正黑體" w:eastAsia="微軟正黑體" w:hAnsi="微軟正黑體" w:cs="Times New Roman"/>
        </w:rPr>
        <w:t>累積養分</w:t>
      </w:r>
      <w:r w:rsidR="005E23EC" w:rsidRPr="00E47E43">
        <w:rPr>
          <w:rFonts w:ascii="微軟正黑體" w:eastAsia="微軟正黑體" w:hAnsi="微軟正黑體" w:cs="Times New Roman"/>
        </w:rPr>
        <w:t>，主要為醣類、蛋白質、脂肪等</w:t>
      </w:r>
      <w:r w:rsidR="00CB0B51" w:rsidRPr="00E47E43">
        <w:rPr>
          <w:rFonts w:ascii="微軟正黑體" w:eastAsia="微軟正黑體" w:hAnsi="微軟正黑體" w:cs="Times New Roman"/>
        </w:rPr>
        <w:t>，</w:t>
      </w:r>
      <w:r w:rsidR="005E23EC" w:rsidRPr="00E47E43">
        <w:rPr>
          <w:rFonts w:ascii="微軟正黑體" w:eastAsia="微軟正黑體" w:hAnsi="微軟正黑體" w:cs="Times New Roman"/>
        </w:rPr>
        <w:t>油料作物種子</w:t>
      </w:r>
      <w:r w:rsidR="00CB0B51" w:rsidRPr="00E47E43">
        <w:rPr>
          <w:rFonts w:ascii="微軟正黑體" w:eastAsia="微軟正黑體" w:hAnsi="微軟正黑體" w:cs="Times New Roman"/>
        </w:rPr>
        <w:t>含</w:t>
      </w:r>
      <w:r w:rsidR="005E23EC" w:rsidRPr="00E47E43">
        <w:rPr>
          <w:rFonts w:ascii="微軟正黑體" w:eastAsia="微軟正黑體" w:hAnsi="微軟正黑體" w:cs="Times New Roman"/>
        </w:rPr>
        <w:t>脂肪比例高</w:t>
      </w:r>
      <w:r w:rsidR="00CB0B51" w:rsidRPr="00E47E43">
        <w:rPr>
          <w:rFonts w:ascii="微軟正黑體" w:eastAsia="微軟正黑體" w:hAnsi="微軟正黑體" w:cs="Times New Roman"/>
        </w:rPr>
        <w:t>，</w:t>
      </w:r>
      <w:r w:rsidR="005E23EC" w:rsidRPr="00E47E43">
        <w:rPr>
          <w:rFonts w:ascii="微軟正黑體" w:eastAsia="微軟正黑體" w:hAnsi="微軟正黑體" w:cs="Times New Roman"/>
        </w:rPr>
        <w:t>同時</w:t>
      </w:r>
      <w:r w:rsidR="00CB0B51" w:rsidRPr="00E47E43">
        <w:rPr>
          <w:rFonts w:ascii="微軟正黑體" w:eastAsia="微軟正黑體" w:hAnsi="微軟正黑體" w:cs="Times New Roman"/>
        </w:rPr>
        <w:t>其</w:t>
      </w:r>
      <w:r w:rsidR="005E23EC" w:rsidRPr="00E47E43">
        <w:rPr>
          <w:rFonts w:ascii="微軟正黑體" w:eastAsia="微軟正黑體" w:hAnsi="微軟正黑體" w:cs="Times New Roman"/>
        </w:rPr>
        <w:t>脂肪成分、含量及比例特別受到栽培者及消費者重視。</w:t>
      </w:r>
      <w:r w:rsidR="00591632" w:rsidRPr="00E47E43">
        <w:rPr>
          <w:rFonts w:ascii="微軟正黑體" w:eastAsia="微軟正黑體" w:hAnsi="微軟正黑體" w:cs="Times New Roman"/>
        </w:rPr>
        <w:t>現今常用的油料作物種類如大豆、</w:t>
      </w:r>
      <w:r w:rsidR="00CB0B51" w:rsidRPr="00E47E43">
        <w:rPr>
          <w:rFonts w:ascii="微軟正黑體" w:eastAsia="微軟正黑體" w:hAnsi="微軟正黑體" w:cs="Times New Roman"/>
        </w:rPr>
        <w:t>油茶及</w:t>
      </w:r>
      <w:r w:rsidR="00591632" w:rsidRPr="00E47E43">
        <w:rPr>
          <w:rFonts w:ascii="微軟正黑體" w:eastAsia="微軟正黑體" w:hAnsi="微軟正黑體" w:cs="Times New Roman"/>
        </w:rPr>
        <w:t>橄欖等</w:t>
      </w:r>
      <w:r w:rsidR="00CB0B51" w:rsidRPr="00E47E43">
        <w:rPr>
          <w:rFonts w:ascii="微軟正黑體" w:eastAsia="微軟正黑體" w:hAnsi="微軟正黑體" w:cs="Times New Roman"/>
        </w:rPr>
        <w:t>，因有</w:t>
      </w:r>
      <w:r w:rsidR="00591632" w:rsidRPr="00E47E43">
        <w:rPr>
          <w:rFonts w:ascii="微軟正黑體" w:eastAsia="微軟正黑體" w:hAnsi="微軟正黑體" w:cs="Times New Roman"/>
        </w:rPr>
        <w:t>不同</w:t>
      </w:r>
      <w:r w:rsidR="00CB0B51" w:rsidRPr="00E47E43">
        <w:rPr>
          <w:rFonts w:ascii="微軟正黑體" w:eastAsia="微軟正黑體" w:hAnsi="微軟正黑體" w:cs="Times New Roman"/>
        </w:rPr>
        <w:t>的</w:t>
      </w:r>
      <w:r w:rsidR="00591632" w:rsidRPr="00E47E43">
        <w:rPr>
          <w:rFonts w:ascii="微軟正黑體" w:eastAsia="微軟正黑體" w:hAnsi="微軟正黑體" w:cs="Times New Roman"/>
        </w:rPr>
        <w:t>成分比例，受到不同消費群的青睞。種子中的種仁是油脂</w:t>
      </w:r>
      <w:r w:rsidR="00966418" w:rsidRPr="00E47E43">
        <w:rPr>
          <w:rFonts w:ascii="微軟正黑體" w:eastAsia="微軟正黑體" w:hAnsi="微軟正黑體" w:cs="Times New Roman"/>
        </w:rPr>
        <w:t>的</w:t>
      </w:r>
      <w:r w:rsidR="00591632" w:rsidRPr="00E47E43">
        <w:rPr>
          <w:rFonts w:ascii="微軟正黑體" w:eastAsia="微軟正黑體" w:hAnsi="微軟正黑體" w:cs="Times New Roman"/>
        </w:rPr>
        <w:t>主要來源，</w:t>
      </w:r>
      <w:r w:rsidR="00E816FD" w:rsidRPr="00E47E43">
        <w:rPr>
          <w:rFonts w:ascii="微軟正黑體" w:eastAsia="微軟正黑體" w:hAnsi="微軟正黑體" w:cs="Times New Roman"/>
        </w:rPr>
        <w:t>從相關文獻指出</w:t>
      </w:r>
      <w:r w:rsidR="00591632" w:rsidRPr="00E47E43">
        <w:rPr>
          <w:rFonts w:ascii="微軟正黑體" w:eastAsia="微軟正黑體" w:hAnsi="微軟正黑體" w:cs="Times New Roman"/>
        </w:rPr>
        <w:t>，</w:t>
      </w:r>
      <w:r w:rsidRPr="00E47E43">
        <w:rPr>
          <w:rFonts w:ascii="微軟正黑體" w:eastAsia="微軟正黑體" w:hAnsi="微軟正黑體" w:cs="Times New Roman"/>
        </w:rPr>
        <w:t>印加果</w:t>
      </w:r>
      <w:r w:rsidR="00591632" w:rsidRPr="00E47E43">
        <w:rPr>
          <w:rFonts w:ascii="微軟正黑體" w:eastAsia="微軟正黑體" w:hAnsi="微軟正黑體" w:cs="Times New Roman"/>
        </w:rPr>
        <w:t>的</w:t>
      </w:r>
      <w:r w:rsidR="00E816FD" w:rsidRPr="00E47E43">
        <w:rPr>
          <w:rFonts w:ascii="微軟正黑體" w:eastAsia="微軟正黑體" w:hAnsi="微軟正黑體" w:cs="Times New Roman"/>
        </w:rPr>
        <w:t>種仁基本成分如表一</w:t>
      </w:r>
      <w:r w:rsidR="002E4CC4" w:rsidRPr="00E47E43">
        <w:rPr>
          <w:rFonts w:ascii="微軟正黑體" w:eastAsia="微軟正黑體" w:hAnsi="微軟正黑體" w:cs="Times New Roman"/>
        </w:rPr>
        <w:t>，</w:t>
      </w:r>
      <w:r w:rsidR="00113E61" w:rsidRPr="00E47E43">
        <w:rPr>
          <w:rFonts w:ascii="微軟正黑體" w:eastAsia="微軟正黑體" w:hAnsi="微軟正黑體" w:cs="Times New Roman"/>
        </w:rPr>
        <w:t>可知以粗脂肪及粗蛋白為主。</w:t>
      </w:r>
    </w:p>
    <w:p w:rsidR="00E816FD" w:rsidRPr="00E47E43" w:rsidRDefault="00E816FD" w:rsidP="008549B7">
      <w:pPr>
        <w:pStyle w:val="a3"/>
        <w:autoSpaceDE w:val="0"/>
        <w:autoSpaceDN w:val="0"/>
        <w:adjustRightInd w:val="0"/>
        <w:ind w:leftChars="0" w:left="420"/>
        <w:rPr>
          <w:rFonts w:ascii="微軟正黑體" w:eastAsia="微軟正黑體" w:hAnsi="微軟正黑體" w:cs="Times New Roman"/>
        </w:rPr>
      </w:pPr>
    </w:p>
    <w:p w:rsidR="008C42EF" w:rsidRPr="00E47E43" w:rsidRDefault="00E816FD" w:rsidP="008549B7">
      <w:pPr>
        <w:pStyle w:val="a3"/>
        <w:autoSpaceDE w:val="0"/>
        <w:autoSpaceDN w:val="0"/>
        <w:adjustRightInd w:val="0"/>
        <w:ind w:leftChars="0" w:left="420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表一、</w:t>
      </w:r>
      <w:r w:rsidR="00C26DF5" w:rsidRPr="00E47E43">
        <w:rPr>
          <w:rFonts w:ascii="微軟正黑體" w:eastAsia="微軟正黑體" w:hAnsi="微軟正黑體" w:cs="Times New Roman"/>
        </w:rPr>
        <w:t>印加果</w:t>
      </w:r>
      <w:r w:rsidR="002E4CC4" w:rsidRPr="00E47E43">
        <w:rPr>
          <w:rFonts w:ascii="微軟正黑體" w:eastAsia="微軟正黑體" w:hAnsi="微軟正黑體" w:cs="Times New Roman"/>
        </w:rPr>
        <w:t>種仁之基本成分</w:t>
      </w:r>
    </w:p>
    <w:tbl>
      <w:tblPr>
        <w:tblStyle w:val="a4"/>
        <w:tblW w:w="0" w:type="auto"/>
        <w:tblInd w:w="420" w:type="dxa"/>
        <w:tblLook w:val="04A0"/>
      </w:tblPr>
      <w:tblGrid>
        <w:gridCol w:w="1248"/>
        <w:gridCol w:w="2268"/>
        <w:gridCol w:w="1559"/>
        <w:gridCol w:w="2693"/>
      </w:tblGrid>
      <w:tr w:rsidR="008C42EF" w:rsidRPr="00E47E43" w:rsidTr="002E4CC4">
        <w:tc>
          <w:tcPr>
            <w:tcW w:w="1248" w:type="dxa"/>
          </w:tcPr>
          <w:p w:rsidR="008C42EF" w:rsidRPr="00E47E43" w:rsidRDefault="008C42EF" w:rsidP="008549B7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成分</w:t>
            </w:r>
          </w:p>
        </w:tc>
        <w:tc>
          <w:tcPr>
            <w:tcW w:w="2268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含量(g/100g)</w:t>
            </w:r>
          </w:p>
        </w:tc>
        <w:tc>
          <w:tcPr>
            <w:tcW w:w="1559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成分</w:t>
            </w:r>
          </w:p>
        </w:tc>
        <w:tc>
          <w:tcPr>
            <w:tcW w:w="2693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含量(mg/100g)</w:t>
            </w:r>
          </w:p>
        </w:tc>
      </w:tr>
      <w:tr w:rsidR="008C42EF" w:rsidRPr="00E47E43" w:rsidTr="002E4CC4">
        <w:tc>
          <w:tcPr>
            <w:tcW w:w="1248" w:type="dxa"/>
          </w:tcPr>
          <w:p w:rsidR="008C42EF" w:rsidRPr="00E47E43" w:rsidRDefault="008C42EF" w:rsidP="008549B7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水分</w:t>
            </w:r>
          </w:p>
        </w:tc>
        <w:tc>
          <w:tcPr>
            <w:tcW w:w="2268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3.18</w:t>
            </w:r>
          </w:p>
        </w:tc>
        <w:tc>
          <w:tcPr>
            <w:tcW w:w="1559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維生素E</w:t>
            </w:r>
          </w:p>
        </w:tc>
        <w:tc>
          <w:tcPr>
            <w:tcW w:w="2693" w:type="dxa"/>
          </w:tcPr>
          <w:p w:rsidR="008C42EF" w:rsidRPr="00E47E43" w:rsidRDefault="002E4CC4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182.0</w:t>
            </w:r>
          </w:p>
        </w:tc>
      </w:tr>
      <w:tr w:rsidR="008C42EF" w:rsidRPr="00E47E43" w:rsidTr="002E4CC4">
        <w:tc>
          <w:tcPr>
            <w:tcW w:w="1248" w:type="dxa"/>
          </w:tcPr>
          <w:p w:rsidR="008C42EF" w:rsidRPr="00E47E43" w:rsidRDefault="008C42EF" w:rsidP="008549B7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</w:rPr>
            </w:pPr>
            <w:proofErr w:type="gramStart"/>
            <w:r w:rsidRPr="00E47E43">
              <w:rPr>
                <w:rFonts w:ascii="微軟正黑體" w:eastAsia="微軟正黑體" w:hAnsi="微軟正黑體" w:cs="Times New Roman"/>
              </w:rPr>
              <w:t>灰分</w:t>
            </w:r>
            <w:proofErr w:type="gramEnd"/>
          </w:p>
        </w:tc>
        <w:tc>
          <w:tcPr>
            <w:tcW w:w="2268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5.12</w:t>
            </w:r>
          </w:p>
        </w:tc>
        <w:tc>
          <w:tcPr>
            <w:tcW w:w="1559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Ca</w:t>
            </w:r>
          </w:p>
        </w:tc>
        <w:tc>
          <w:tcPr>
            <w:tcW w:w="2693" w:type="dxa"/>
          </w:tcPr>
          <w:p w:rsidR="008C42EF" w:rsidRPr="00E47E43" w:rsidRDefault="002E4CC4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88.4</w:t>
            </w:r>
          </w:p>
        </w:tc>
      </w:tr>
      <w:tr w:rsidR="008C42EF" w:rsidRPr="00E47E43" w:rsidTr="002E4CC4">
        <w:tc>
          <w:tcPr>
            <w:tcW w:w="1248" w:type="dxa"/>
          </w:tcPr>
          <w:p w:rsidR="008C42EF" w:rsidRPr="00E47E43" w:rsidRDefault="008C42EF" w:rsidP="008549B7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醣類</w:t>
            </w:r>
          </w:p>
        </w:tc>
        <w:tc>
          <w:tcPr>
            <w:tcW w:w="2268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6.63</w:t>
            </w:r>
          </w:p>
        </w:tc>
        <w:tc>
          <w:tcPr>
            <w:tcW w:w="1559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P</w:t>
            </w:r>
          </w:p>
        </w:tc>
        <w:tc>
          <w:tcPr>
            <w:tcW w:w="2693" w:type="dxa"/>
          </w:tcPr>
          <w:p w:rsidR="008C42EF" w:rsidRPr="00E47E43" w:rsidRDefault="002E4CC4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670.0</w:t>
            </w:r>
          </w:p>
        </w:tc>
      </w:tr>
      <w:tr w:rsidR="008C42EF" w:rsidRPr="00E47E43" w:rsidTr="002E4CC4">
        <w:tc>
          <w:tcPr>
            <w:tcW w:w="1248" w:type="dxa"/>
          </w:tcPr>
          <w:p w:rsidR="008C42EF" w:rsidRPr="00E47E43" w:rsidRDefault="008C42EF" w:rsidP="008549B7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粗蛋白</w:t>
            </w:r>
          </w:p>
        </w:tc>
        <w:tc>
          <w:tcPr>
            <w:tcW w:w="2268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27.13</w:t>
            </w:r>
          </w:p>
        </w:tc>
        <w:tc>
          <w:tcPr>
            <w:tcW w:w="1559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K</w:t>
            </w:r>
          </w:p>
        </w:tc>
        <w:tc>
          <w:tcPr>
            <w:tcW w:w="2693" w:type="dxa"/>
          </w:tcPr>
          <w:p w:rsidR="008C42EF" w:rsidRPr="00E47E43" w:rsidRDefault="002E4CC4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61.0</w:t>
            </w:r>
          </w:p>
        </w:tc>
      </w:tr>
      <w:tr w:rsidR="008C42EF" w:rsidRPr="00E47E43" w:rsidTr="002E4CC4">
        <w:tc>
          <w:tcPr>
            <w:tcW w:w="1248" w:type="dxa"/>
          </w:tcPr>
          <w:p w:rsidR="008C42EF" w:rsidRPr="00E47E43" w:rsidRDefault="008C42EF" w:rsidP="008549B7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粗脂肪</w:t>
            </w:r>
          </w:p>
        </w:tc>
        <w:tc>
          <w:tcPr>
            <w:tcW w:w="2268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45.25</w:t>
            </w:r>
          </w:p>
        </w:tc>
        <w:tc>
          <w:tcPr>
            <w:tcW w:w="1559" w:type="dxa"/>
          </w:tcPr>
          <w:p w:rsidR="008C42EF" w:rsidRPr="00E47E43" w:rsidRDefault="008C42EF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Mg</w:t>
            </w:r>
          </w:p>
        </w:tc>
        <w:tc>
          <w:tcPr>
            <w:tcW w:w="2693" w:type="dxa"/>
          </w:tcPr>
          <w:p w:rsidR="008C42EF" w:rsidRPr="00E47E43" w:rsidRDefault="002E4CC4" w:rsidP="002E4CC4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</w:rPr>
            </w:pPr>
            <w:r w:rsidRPr="00E47E43">
              <w:rPr>
                <w:rFonts w:ascii="微軟正黑體" w:eastAsia="微軟正黑體" w:hAnsi="微軟正黑體" w:cs="Times New Roman"/>
              </w:rPr>
              <w:t>77.1</w:t>
            </w:r>
          </w:p>
        </w:tc>
      </w:tr>
    </w:tbl>
    <w:p w:rsidR="00E816FD" w:rsidRPr="00E47E43" w:rsidRDefault="00CE3B75" w:rsidP="00C26DF5">
      <w:pPr>
        <w:pStyle w:val="a3"/>
        <w:autoSpaceDE w:val="0"/>
        <w:autoSpaceDN w:val="0"/>
        <w:adjustRightInd w:val="0"/>
        <w:ind w:leftChars="0" w:left="420"/>
        <w:jc w:val="right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lastRenderedPageBreak/>
        <w:t>(資料來源：</w:t>
      </w:r>
      <w:r w:rsidR="00C26DF5" w:rsidRPr="00E47E43">
        <w:rPr>
          <w:rFonts w:ascii="微軟正黑體" w:eastAsia="微軟正黑體" w:hAnsi="微軟正黑體" w:cs="Times New Roman"/>
        </w:rPr>
        <w:t>張等人，2013</w:t>
      </w:r>
      <w:r w:rsidRPr="00E47E43">
        <w:rPr>
          <w:rFonts w:ascii="微軟正黑體" w:eastAsia="微軟正黑體" w:hAnsi="微軟正黑體" w:cs="Times New Roman"/>
        </w:rPr>
        <w:t>)</w:t>
      </w:r>
    </w:p>
    <w:p w:rsidR="003E4B6E" w:rsidRPr="00E47E43" w:rsidRDefault="00D162B7" w:rsidP="004B305A">
      <w:pPr>
        <w:pStyle w:val="a3"/>
        <w:autoSpaceDE w:val="0"/>
        <w:autoSpaceDN w:val="0"/>
        <w:adjustRightInd w:val="0"/>
        <w:ind w:leftChars="-58" w:left="-5" w:hangingChars="56" w:hanging="134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(二)</w:t>
      </w:r>
      <w:r w:rsidR="006651AA" w:rsidRPr="00E47E43">
        <w:rPr>
          <w:rFonts w:ascii="微軟正黑體" w:eastAsia="微軟正黑體" w:hAnsi="微軟正黑體" w:cs="Times New Roman"/>
        </w:rPr>
        <w:t>油</w:t>
      </w:r>
      <w:r w:rsidR="00B42DBC" w:rsidRPr="00E47E43">
        <w:rPr>
          <w:rFonts w:ascii="微軟正黑體" w:eastAsia="微軟正黑體" w:hAnsi="微軟正黑體" w:cs="Times New Roman"/>
        </w:rPr>
        <w:t>脂</w:t>
      </w:r>
      <w:r w:rsidR="006651AA" w:rsidRPr="00E47E43">
        <w:rPr>
          <w:rFonts w:ascii="微軟正黑體" w:eastAsia="微軟正黑體" w:hAnsi="微軟正黑體" w:cs="Times New Roman"/>
        </w:rPr>
        <w:t>成分</w:t>
      </w:r>
    </w:p>
    <w:p w:rsidR="007821BF" w:rsidRPr="00E47E43" w:rsidRDefault="00966418" w:rsidP="004B305A">
      <w:pPr>
        <w:pStyle w:val="a3"/>
        <w:autoSpaceDE w:val="0"/>
        <w:autoSpaceDN w:val="0"/>
        <w:adjustRightInd w:val="0"/>
        <w:ind w:leftChars="0" w:left="0" w:firstLineChars="177" w:firstLine="425"/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</w:pPr>
      <w:r w:rsidRPr="00E47E43">
        <w:rPr>
          <w:rFonts w:ascii="微軟正黑體" w:eastAsia="微軟正黑體" w:hAnsi="微軟正黑體" w:cs="Times New Roman"/>
          <w:szCs w:val="24"/>
        </w:rPr>
        <w:t>油脂之</w:t>
      </w:r>
      <w:r w:rsidR="00EA0672" w:rsidRPr="00E47E43">
        <w:rPr>
          <w:rFonts w:ascii="微軟正黑體" w:eastAsia="微軟正黑體" w:hAnsi="微軟正黑體" w:cs="Times New Roman"/>
          <w:szCs w:val="24"/>
        </w:rPr>
        <w:t>脂肪酸種類及比例影響</w:t>
      </w:r>
      <w:r w:rsidR="007831AB" w:rsidRPr="00E47E43">
        <w:rPr>
          <w:rFonts w:ascii="微軟正黑體" w:eastAsia="微軟正黑體" w:hAnsi="微軟正黑體" w:cs="Times New Roman"/>
          <w:szCs w:val="24"/>
        </w:rPr>
        <w:t>食用油</w:t>
      </w:r>
      <w:r w:rsidR="00EA0672" w:rsidRPr="00E47E43">
        <w:rPr>
          <w:rFonts w:ascii="微軟正黑體" w:eastAsia="微軟正黑體" w:hAnsi="微軟正黑體" w:cs="Times New Roman"/>
          <w:szCs w:val="24"/>
        </w:rPr>
        <w:t>品質，</w:t>
      </w:r>
      <w:r w:rsidR="007831AB" w:rsidRPr="00E47E43">
        <w:rPr>
          <w:rFonts w:ascii="微軟正黑體" w:eastAsia="微軟正黑體" w:hAnsi="微軟正黑體" w:cs="Times New Roman"/>
          <w:szCs w:val="24"/>
        </w:rPr>
        <w:t>各類的油脂攝取應維持均衡才有助於身體健康。從相關文獻指出，各類食用油的脂肪酸成分比較如表二，其中印加果種仁</w:t>
      </w:r>
      <w:r w:rsidRPr="00E47E43">
        <w:rPr>
          <w:rFonts w:ascii="微軟正黑體" w:eastAsia="微軟正黑體" w:hAnsi="微軟正黑體" w:cs="Times New Roman"/>
          <w:szCs w:val="24"/>
        </w:rPr>
        <w:t>的</w:t>
      </w:r>
      <w:r w:rsidR="007831AB" w:rsidRPr="00E47E43">
        <w:rPr>
          <w:rFonts w:ascii="微軟正黑體" w:eastAsia="微軟正黑體" w:hAnsi="微軟正黑體" w:cs="Times New Roman"/>
          <w:szCs w:val="24"/>
        </w:rPr>
        <w:t>油脂成分，</w:t>
      </w:r>
      <w:r w:rsidR="007831AB" w:rsidRPr="00E47E43">
        <w:rPr>
          <w:rFonts w:ascii="微軟正黑體" w:eastAsia="微軟正黑體" w:hAnsi="微軟正黑體" w:cs="Times New Roman"/>
          <w:kern w:val="0"/>
          <w:szCs w:val="24"/>
        </w:rPr>
        <w:t>不</w:t>
      </w:r>
      <w:r w:rsidR="00D157D5" w:rsidRPr="00E47E43">
        <w:rPr>
          <w:rFonts w:ascii="微軟正黑體" w:eastAsia="微軟正黑體" w:hAnsi="微軟正黑體" w:cs="Times New Roman"/>
          <w:kern w:val="0"/>
          <w:szCs w:val="24"/>
        </w:rPr>
        <w:t>飽</w:t>
      </w:r>
      <w:r w:rsidR="007831AB" w:rsidRPr="00E47E43">
        <w:rPr>
          <w:rFonts w:ascii="微軟正黑體" w:eastAsia="微軟正黑體" w:hAnsi="微軟正黑體" w:cs="Times New Roman"/>
          <w:kern w:val="0"/>
          <w:szCs w:val="24"/>
        </w:rPr>
        <w:t>和脂肪酸含量高</w:t>
      </w:r>
      <w:r w:rsidR="00D157D5" w:rsidRPr="00E47E43">
        <w:rPr>
          <w:rFonts w:ascii="微軟正黑體" w:eastAsia="微軟正黑體" w:hAnsi="微軟正黑體" w:cs="Times New Roman"/>
          <w:kern w:val="0"/>
          <w:szCs w:val="24"/>
        </w:rPr>
        <w:t>達</w:t>
      </w:r>
      <w:r w:rsidR="007831AB" w:rsidRPr="00E47E43">
        <w:rPr>
          <w:rFonts w:ascii="微軟正黑體" w:eastAsia="微軟正黑體" w:hAnsi="微軟正黑體" w:cs="Times New Roman"/>
          <w:kern w:val="0"/>
          <w:szCs w:val="24"/>
        </w:rPr>
        <w:t>90％以上</w:t>
      </w:r>
      <w:r w:rsidR="007831AB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，</w:t>
      </w:r>
      <w:r w:rsidR="00E942F7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故明顯高於其他油料作物，</w:t>
      </w:r>
      <w:r w:rsidR="007831AB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包含有2種多元</w:t>
      </w:r>
      <w:r w:rsidR="007831AB" w:rsidRPr="00E47E43">
        <w:rPr>
          <w:rFonts w:ascii="微軟正黑體" w:eastAsia="微軟正黑體" w:hAnsi="微軟正黑體" w:cs="Times New Roman"/>
          <w:kern w:val="0"/>
          <w:szCs w:val="24"/>
        </w:rPr>
        <w:t>不</w:t>
      </w:r>
      <w:r w:rsidR="00D157D5" w:rsidRPr="00E47E43">
        <w:rPr>
          <w:rFonts w:ascii="微軟正黑體" w:eastAsia="微軟正黑體" w:hAnsi="微軟正黑體" w:cs="Times New Roman"/>
          <w:kern w:val="0"/>
          <w:szCs w:val="24"/>
        </w:rPr>
        <w:t>飽</w:t>
      </w:r>
      <w:r w:rsidR="007831AB" w:rsidRPr="00E47E43">
        <w:rPr>
          <w:rFonts w:ascii="微軟正黑體" w:eastAsia="微軟正黑體" w:hAnsi="微軟正黑體" w:cs="Times New Roman"/>
          <w:kern w:val="0"/>
          <w:szCs w:val="24"/>
        </w:rPr>
        <w:t>和脂肪酸</w:t>
      </w:r>
      <w:r w:rsidR="007831AB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Omega-3(ω-3)</w:t>
      </w:r>
      <w:r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、</w:t>
      </w:r>
      <w:r w:rsidR="007831AB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Omega-6(ω-6)及1種單元</w:t>
      </w:r>
      <w:r w:rsidR="007831AB" w:rsidRPr="00E47E43">
        <w:rPr>
          <w:rFonts w:ascii="微軟正黑體" w:eastAsia="微軟正黑體" w:hAnsi="微軟正黑體" w:cs="Times New Roman"/>
          <w:kern w:val="0"/>
          <w:szCs w:val="24"/>
        </w:rPr>
        <w:t>不</w:t>
      </w:r>
      <w:r w:rsidR="00D157D5" w:rsidRPr="00E47E43">
        <w:rPr>
          <w:rFonts w:ascii="微軟正黑體" w:eastAsia="微軟正黑體" w:hAnsi="微軟正黑體" w:cs="Times New Roman"/>
          <w:kern w:val="0"/>
          <w:szCs w:val="24"/>
        </w:rPr>
        <w:t>飽</w:t>
      </w:r>
      <w:r w:rsidR="007831AB" w:rsidRPr="00E47E43">
        <w:rPr>
          <w:rFonts w:ascii="微軟正黑體" w:eastAsia="微軟正黑體" w:hAnsi="微軟正黑體" w:cs="Times New Roman"/>
          <w:kern w:val="0"/>
          <w:szCs w:val="24"/>
        </w:rPr>
        <w:t>和脂肪酸</w:t>
      </w:r>
      <w:r w:rsidR="007831AB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Omega-9(ω-9)，其中以ω-3及ω-6的含量最高，分別在</w:t>
      </w:r>
      <w:r w:rsidR="007831AB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4</w:t>
      </w:r>
      <w:r w:rsidR="00D157D5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4</w:t>
      </w:r>
      <w:r w:rsidR="007831AB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%及3</w:t>
      </w:r>
      <w:r w:rsidR="00D157D5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9</w:t>
      </w:r>
      <w:r w:rsidR="007831AB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%左右，ω-9則約1</w:t>
      </w:r>
      <w:r w:rsidR="00D157D5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1</w:t>
      </w:r>
      <w:r w:rsidR="007831AB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%。</w:t>
      </w:r>
      <w:proofErr w:type="gramStart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此外，印加果</w:t>
      </w:r>
      <w:r w:rsidR="00D2794A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油</w:t>
      </w:r>
      <w:proofErr w:type="gramEnd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也含有</w:t>
      </w:r>
      <w:proofErr w:type="gramStart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甾</w:t>
      </w:r>
      <w:proofErr w:type="gramEnd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醇、多</w:t>
      </w:r>
      <w:proofErr w:type="gramStart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酚</w:t>
      </w:r>
      <w:proofErr w:type="gramEnd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和生育</w:t>
      </w:r>
      <w:proofErr w:type="gramStart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酚</w:t>
      </w:r>
      <w:proofErr w:type="gramEnd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(維生素E)等</w:t>
      </w:r>
      <w:proofErr w:type="gramStart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多種脂</w:t>
      </w:r>
      <w:proofErr w:type="gramEnd"/>
      <w:r w:rsidR="007821BF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質活性成分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，這些化學成分可以增加油脂的穩定性</w:t>
      </w:r>
      <w:r w:rsidR="00E942F7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，並具有抗氧化、抗發炎及預防心血管疾病等生物活性</w:t>
      </w:r>
      <w:r w:rsidR="00D2794A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。</w:t>
      </w:r>
    </w:p>
    <w:p w:rsidR="007821BF" w:rsidRPr="00E47E43" w:rsidRDefault="007821BF" w:rsidP="004B305A">
      <w:pPr>
        <w:pStyle w:val="a3"/>
        <w:autoSpaceDE w:val="0"/>
        <w:autoSpaceDN w:val="0"/>
        <w:adjustRightInd w:val="0"/>
        <w:ind w:leftChars="0" w:left="0" w:firstLineChars="177" w:firstLine="425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ω-3及ω-6這2種必需脂肪酸對健康有益，但</w:t>
      </w:r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人體無法自行有效製造，因此必須從食物或補充品中攝取。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我國最常食用的油以</w:t>
      </w:r>
      <w:r w:rsidR="00A97144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大豆沙拉油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及</w:t>
      </w:r>
      <w:r w:rsidR="00A97144"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芝麻油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為</w:t>
      </w:r>
      <w:proofErr w:type="gramStart"/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大宗，</w:t>
      </w:r>
      <w:proofErr w:type="gramEnd"/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其油品成分以ω-6為主，而ω-3及ω-6兩者</w:t>
      </w:r>
      <w:r w:rsidRPr="00E47E43">
        <w:rPr>
          <w:rFonts w:ascii="微軟正黑體" w:eastAsia="微軟正黑體" w:hAnsi="微軟正黑體" w:cs="Times New Roman"/>
          <w:color w:val="000000" w:themeColor="text1"/>
          <w:szCs w:val="24"/>
          <w:bdr w:val="none" w:sz="0" w:space="0" w:color="auto" w:frame="1"/>
        </w:rPr>
        <w:t>比例失衡則會造成彼此共同競爭合成酶，無法達成動態平衡，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造成ω-3不足情況。</w:t>
      </w:r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由於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ω-3</w:t>
      </w:r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脂肪酸可以降低血液中三酸甘油脂和壞的膽固醇(LDL)，亦能增加好的膽固醇(HDL)含量、清除血管內壁的脂肪</w:t>
      </w:r>
      <w:r w:rsidR="00DE29E1"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，提高免疫力</w:t>
      </w:r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及有</w:t>
      </w:r>
      <w:proofErr w:type="gramStart"/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助腦部</w:t>
      </w:r>
      <w:proofErr w:type="gramEnd"/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發育，故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ω-3</w:t>
      </w:r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脂肪酸</w:t>
      </w:r>
      <w:r w:rsidRPr="00E47E43">
        <w:rPr>
          <w:rFonts w:ascii="微軟正黑體" w:eastAsia="微軟正黑體" w:hAnsi="微軟正黑體" w:cs="Times New Roman"/>
          <w:color w:val="000000" w:themeColor="text1"/>
          <w:kern w:val="0"/>
          <w:szCs w:val="24"/>
        </w:rPr>
        <w:t>含量較高的</w:t>
      </w:r>
      <w:r w:rsidRPr="00E47E43">
        <w:rPr>
          <w:rFonts w:ascii="微軟正黑體" w:eastAsia="微軟正黑體" w:hAnsi="微軟正黑體" w:cs="Times New Roman"/>
          <w:color w:val="000000" w:themeColor="text1"/>
          <w:szCs w:val="24"/>
        </w:rPr>
        <w:t>印加果油逐漸受到市場關注，並曾於2004、2006及2010年的巴黎世界食用油博覽會中，在感官及品質展現獲得金牌獎。</w:t>
      </w:r>
    </w:p>
    <w:p w:rsidR="004B305A" w:rsidRPr="00E47E43" w:rsidRDefault="004B305A" w:rsidP="004B305A">
      <w:pPr>
        <w:pStyle w:val="a3"/>
        <w:autoSpaceDE w:val="0"/>
        <w:autoSpaceDN w:val="0"/>
        <w:adjustRightInd w:val="0"/>
        <w:ind w:leftChars="0" w:left="0" w:firstLineChars="177" w:firstLine="425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EA0672" w:rsidRPr="00E47E43" w:rsidRDefault="00EA0672" w:rsidP="00EA0672">
      <w:pPr>
        <w:pStyle w:val="a3"/>
        <w:autoSpaceDE w:val="0"/>
        <w:autoSpaceDN w:val="0"/>
        <w:adjustRightInd w:val="0"/>
        <w:ind w:leftChars="0" w:left="420"/>
        <w:rPr>
          <w:rFonts w:ascii="微軟正黑體" w:eastAsia="微軟正黑體" w:hAnsi="微軟正黑體" w:cs="Times New Roman"/>
          <w:szCs w:val="24"/>
        </w:rPr>
      </w:pPr>
      <w:r w:rsidRPr="00E47E43">
        <w:rPr>
          <w:rFonts w:ascii="微軟正黑體" w:eastAsia="微軟正黑體" w:hAnsi="微軟正黑體" w:cs="Times New Roman"/>
          <w:szCs w:val="24"/>
        </w:rPr>
        <w:lastRenderedPageBreak/>
        <w:t>表二、印加果油與其他食用油之脂肪酸比較</w:t>
      </w:r>
    </w:p>
    <w:tbl>
      <w:tblPr>
        <w:tblStyle w:val="a4"/>
        <w:tblW w:w="0" w:type="auto"/>
        <w:tblInd w:w="108" w:type="dxa"/>
        <w:tblLook w:val="04A0"/>
      </w:tblPr>
      <w:tblGrid>
        <w:gridCol w:w="1376"/>
        <w:gridCol w:w="828"/>
        <w:gridCol w:w="886"/>
        <w:gridCol w:w="887"/>
        <w:gridCol w:w="888"/>
        <w:gridCol w:w="887"/>
        <w:gridCol w:w="887"/>
        <w:gridCol w:w="887"/>
        <w:gridCol w:w="888"/>
      </w:tblGrid>
      <w:tr w:rsidR="00EA0672" w:rsidRPr="00E47E43" w:rsidTr="008C1DEC">
        <w:tc>
          <w:tcPr>
            <w:tcW w:w="141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脂肪酸</w:t>
            </w:r>
          </w:p>
        </w:tc>
        <w:tc>
          <w:tcPr>
            <w:tcW w:w="756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印加果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E47E43">
              <w:rPr>
                <w:rFonts w:ascii="微軟正黑體" w:eastAsia="微軟正黑體" w:hAnsi="微軟正黑體" w:cs="Times New Roman"/>
                <w:szCs w:val="24"/>
              </w:rPr>
              <w:t>茶籽油</w:t>
            </w:r>
            <w:proofErr w:type="gramEnd"/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橄欖油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花生油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E47E43">
              <w:rPr>
                <w:rFonts w:ascii="微軟正黑體" w:eastAsia="微軟正黑體" w:hAnsi="微軟正黑體" w:cs="Times New Roman"/>
                <w:szCs w:val="24"/>
              </w:rPr>
              <w:t>菜籽油</w:t>
            </w:r>
            <w:proofErr w:type="gramEnd"/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芝麻油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大豆油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杏仁油</w:t>
            </w:r>
          </w:p>
        </w:tc>
      </w:tr>
      <w:tr w:rsidR="00EA0672" w:rsidRPr="00E47E43" w:rsidTr="008C1DEC">
        <w:tc>
          <w:tcPr>
            <w:tcW w:w="141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kern w:val="0"/>
                <w:szCs w:val="24"/>
              </w:rPr>
              <w:t>飽和脂肪酸</w:t>
            </w:r>
          </w:p>
        </w:tc>
        <w:tc>
          <w:tcPr>
            <w:tcW w:w="756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6.09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21.36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16.04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19.90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11.96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16.21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6.40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1.94</w:t>
            </w:r>
          </w:p>
        </w:tc>
      </w:tr>
      <w:tr w:rsidR="00EA0672" w:rsidRPr="00E47E43" w:rsidTr="008C1DEC">
        <w:tc>
          <w:tcPr>
            <w:tcW w:w="141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kern w:val="0"/>
                <w:szCs w:val="24"/>
              </w:rPr>
              <w:t>單元不飽和脂肪酸</w:t>
            </w:r>
          </w:p>
        </w:tc>
        <w:tc>
          <w:tcPr>
            <w:tcW w:w="756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10.99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54.74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74.75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44.81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56.15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35.92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14.23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71.23</w:t>
            </w:r>
          </w:p>
        </w:tc>
      </w:tr>
      <w:tr w:rsidR="00EA0672" w:rsidRPr="00E47E43" w:rsidTr="008C1DEC">
        <w:tc>
          <w:tcPr>
            <w:tcW w:w="141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73" w:left="175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油酸(</w:t>
            </w:r>
            <w:r w:rsidRPr="00E47E43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ω-9</w:t>
            </w:r>
            <w:r w:rsidRPr="00E47E43">
              <w:rPr>
                <w:rFonts w:ascii="微軟正黑體" w:eastAsia="微軟正黑體" w:hAnsi="微軟正黑體" w:cs="Times New Roman"/>
                <w:szCs w:val="24"/>
              </w:rPr>
              <w:t>)</w:t>
            </w:r>
          </w:p>
        </w:tc>
        <w:tc>
          <w:tcPr>
            <w:tcW w:w="756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10.99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54.05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73.75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44.12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47.08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35.68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7.27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66.6</w:t>
            </w:r>
          </w:p>
        </w:tc>
      </w:tr>
      <w:tr w:rsidR="00EA0672" w:rsidRPr="00E47E43" w:rsidTr="008C1DEC">
        <w:tc>
          <w:tcPr>
            <w:tcW w:w="141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kern w:val="0"/>
                <w:szCs w:val="24"/>
              </w:rPr>
              <w:t>多元不飽和脂肪酸</w:t>
            </w:r>
          </w:p>
        </w:tc>
        <w:tc>
          <w:tcPr>
            <w:tcW w:w="756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82.72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23.04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8.45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34.64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28.75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44.25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79.35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26.71</w:t>
            </w:r>
          </w:p>
        </w:tc>
      </w:tr>
      <w:tr w:rsidR="00EA0672" w:rsidRPr="00E47E43" w:rsidTr="008C1DEC">
        <w:tc>
          <w:tcPr>
            <w:tcW w:w="141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73" w:left="175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亞油酸</w:t>
            </w:r>
          </w:p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73" w:left="175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(</w:t>
            </w:r>
            <w:r w:rsidRPr="00E47E43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ω-6</w:t>
            </w:r>
            <w:r w:rsidRPr="00E47E43">
              <w:rPr>
                <w:rFonts w:ascii="微軟正黑體" w:eastAsia="微軟正黑體" w:hAnsi="微軟正黑體" w:cs="Times New Roman"/>
                <w:szCs w:val="24"/>
              </w:rPr>
              <w:t>)</w:t>
            </w:r>
          </w:p>
        </w:tc>
        <w:tc>
          <w:tcPr>
            <w:tcW w:w="756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38.94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22.78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7.77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35.54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23.63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43.96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69.30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26.50</w:t>
            </w:r>
          </w:p>
        </w:tc>
      </w:tr>
      <w:tr w:rsidR="00EA0672" w:rsidRPr="00E47E43" w:rsidTr="008C1DEC">
        <w:tc>
          <w:tcPr>
            <w:tcW w:w="141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73" w:left="175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亞麻油酸(</w:t>
            </w:r>
            <w:r w:rsidRPr="00E47E43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ω-3</w:t>
            </w:r>
            <w:r w:rsidRPr="00E47E43">
              <w:rPr>
                <w:rFonts w:ascii="微軟正黑體" w:eastAsia="微軟正黑體" w:hAnsi="微軟正黑體" w:cs="Times New Roman"/>
                <w:szCs w:val="24"/>
              </w:rPr>
              <w:t>)</w:t>
            </w:r>
          </w:p>
        </w:tc>
        <w:tc>
          <w:tcPr>
            <w:tcW w:w="756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43.78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0.26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0.68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0.09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4.99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0.29</w:t>
            </w:r>
          </w:p>
        </w:tc>
        <w:tc>
          <w:tcPr>
            <w:tcW w:w="892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9.75</w:t>
            </w:r>
          </w:p>
        </w:tc>
        <w:tc>
          <w:tcPr>
            <w:tcW w:w="893" w:type="dxa"/>
          </w:tcPr>
          <w:p w:rsidR="00EA0672" w:rsidRPr="00E47E43" w:rsidRDefault="00EA0672" w:rsidP="008B6B19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47E43">
              <w:rPr>
                <w:rFonts w:ascii="微軟正黑體" w:eastAsia="微軟正黑體" w:hAnsi="微軟正黑體" w:cs="Times New Roman"/>
                <w:szCs w:val="24"/>
              </w:rPr>
              <w:t>0.11</w:t>
            </w:r>
          </w:p>
        </w:tc>
      </w:tr>
    </w:tbl>
    <w:p w:rsidR="00EA0672" w:rsidRPr="00E47E43" w:rsidRDefault="00EA0672" w:rsidP="00EA0672">
      <w:pPr>
        <w:pStyle w:val="a3"/>
        <w:autoSpaceDE w:val="0"/>
        <w:autoSpaceDN w:val="0"/>
        <w:adjustRightInd w:val="0"/>
        <w:ind w:leftChars="0" w:left="420"/>
        <w:jc w:val="right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(資料來源：張等人，2013)</w:t>
      </w:r>
    </w:p>
    <w:p w:rsidR="00E664EC" w:rsidRPr="00E47E43" w:rsidRDefault="00E664EC" w:rsidP="00EA0672">
      <w:pPr>
        <w:pStyle w:val="a3"/>
        <w:autoSpaceDE w:val="0"/>
        <w:autoSpaceDN w:val="0"/>
        <w:adjustRightInd w:val="0"/>
        <w:ind w:leftChars="0" w:left="420"/>
        <w:jc w:val="right"/>
        <w:rPr>
          <w:rFonts w:ascii="微軟正黑體" w:eastAsia="微軟正黑體" w:hAnsi="微軟正黑體" w:cs="Times New Roman"/>
        </w:rPr>
      </w:pPr>
    </w:p>
    <w:p w:rsidR="00B42DBC" w:rsidRPr="00E47E43" w:rsidRDefault="00B42DBC" w:rsidP="00B42DB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栽培環境與方式</w:t>
      </w:r>
    </w:p>
    <w:p w:rsidR="00085A87" w:rsidRPr="00E47E43" w:rsidRDefault="00D2794A" w:rsidP="00E942F7">
      <w:pPr>
        <w:autoSpaceDE w:val="0"/>
        <w:autoSpaceDN w:val="0"/>
        <w:adjustRightInd w:val="0"/>
        <w:ind w:firstLineChars="177" w:firstLine="425"/>
        <w:rPr>
          <w:rFonts w:ascii="微軟正黑體" w:eastAsia="微軟正黑體" w:hAnsi="微軟正黑體" w:cs="Times New Roman"/>
          <w:color w:val="222222"/>
          <w:szCs w:val="24"/>
        </w:rPr>
      </w:pPr>
      <w:r w:rsidRPr="00E47E43">
        <w:rPr>
          <w:rFonts w:ascii="微軟正黑體" w:eastAsia="微軟正黑體" w:hAnsi="微軟正黑體" w:cs="Times New Roman"/>
        </w:rPr>
        <w:t>印加果原生於熱帶雨林高溫多濕的環境，除了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秘魯、厄瓜多、泰國等國家有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lastRenderedPageBreak/>
        <w:t>大面積生產及出口油品外，</w:t>
      </w:r>
      <w:r w:rsidRPr="00E47E43">
        <w:rPr>
          <w:rFonts w:ascii="微軟正黑體" w:eastAsia="微軟正黑體" w:hAnsi="微軟正黑體" w:cs="Times New Roman"/>
        </w:rPr>
        <w:t>近年來</w:t>
      </w:r>
      <w:r w:rsidRPr="00E47E43">
        <w:rPr>
          <w:rFonts w:ascii="微軟正黑體" w:eastAsia="微軟正黑體" w:hAnsi="微軟正黑體" w:cs="Times New Roman"/>
          <w:color w:val="222222"/>
          <w:szCs w:val="24"/>
        </w:rPr>
        <w:t>中國大陸的</w:t>
      </w:r>
      <w:r w:rsidR="00601487" w:rsidRPr="00E47E43">
        <w:rPr>
          <w:rFonts w:ascii="微軟正黑體" w:eastAsia="微軟正黑體" w:hAnsi="微軟正黑體" w:cs="Times New Roman"/>
          <w:color w:val="222222"/>
          <w:szCs w:val="24"/>
        </w:rPr>
        <w:t>雲南及貴州也引進栽培成功並擴大栽培。我國亦有業者引進於中南部栽培，除平地外，亦有在</w:t>
      </w:r>
      <w:r w:rsidR="0089766F" w:rsidRPr="00E47E43">
        <w:rPr>
          <w:rFonts w:ascii="微軟正黑體" w:eastAsia="微軟正黑體" w:hAnsi="微軟正黑體" w:cs="Times New Roman"/>
          <w:color w:val="222222"/>
          <w:szCs w:val="24"/>
        </w:rPr>
        <w:t>台中和平及</w:t>
      </w:r>
      <w:r w:rsidR="00601487" w:rsidRPr="00E47E43">
        <w:rPr>
          <w:rFonts w:ascii="微軟正黑體" w:eastAsia="微軟正黑體" w:hAnsi="微軟正黑體" w:cs="Times New Roman"/>
          <w:color w:val="222222"/>
          <w:szCs w:val="24"/>
        </w:rPr>
        <w:t>嘉義阿里山山區少量生產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，有文獻指出，印加果能夠適</w:t>
      </w:r>
      <w:r w:rsidR="00E942F7" w:rsidRPr="00E47E43">
        <w:rPr>
          <w:rFonts w:ascii="微軟正黑體" w:eastAsia="微軟正黑體" w:hAnsi="微軟正黑體" w:cs="Times New Roman"/>
          <w:color w:val="222222"/>
          <w:szCs w:val="24"/>
        </w:rPr>
        <w:t>應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70-2000m的海拔高度，但以600m海拔高度所生產的種子產量最高(</w:t>
      </w:r>
      <w:proofErr w:type="gramStart"/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蔡</w:t>
      </w:r>
      <w:proofErr w:type="gramEnd"/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，2011)。印加果適宜溫度範圍在15-35℃，果實</w:t>
      </w:r>
      <w:proofErr w:type="gramStart"/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發育適期為</w:t>
      </w:r>
      <w:proofErr w:type="gramEnd"/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20-30℃，當溫度降至15℃以下時植株生長緩慢，果實發育受阻，降至</w:t>
      </w:r>
      <w:r w:rsidR="00FE032E" w:rsidRPr="00E47E43">
        <w:rPr>
          <w:rFonts w:ascii="微軟正黑體" w:eastAsia="微軟正黑體" w:hAnsi="微軟正黑體" w:cs="Times New Roman"/>
          <w:color w:val="222222"/>
          <w:szCs w:val="24"/>
        </w:rPr>
        <w:t>5℃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以下時</w:t>
      </w:r>
      <w:proofErr w:type="gramStart"/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老葉易受寒</w:t>
      </w:r>
      <w:proofErr w:type="gramEnd"/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害而落葉</w:t>
      </w:r>
      <w:r w:rsidR="00FE032E" w:rsidRPr="00E47E43">
        <w:rPr>
          <w:rFonts w:ascii="微軟正黑體" w:eastAsia="微軟正黑體" w:hAnsi="微軟正黑體" w:cs="Times New Roman"/>
          <w:color w:val="222222"/>
          <w:szCs w:val="24"/>
        </w:rPr>
        <w:t>，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嫩枝</w:t>
      </w:r>
      <w:r w:rsidR="00FE032E" w:rsidRPr="00E47E43">
        <w:rPr>
          <w:rFonts w:ascii="微軟正黑體" w:eastAsia="微軟正黑體" w:hAnsi="微軟正黑體" w:cs="Times New Roman"/>
          <w:color w:val="222222"/>
          <w:szCs w:val="24"/>
        </w:rPr>
        <w:t>、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葉易變黑枯萎</w:t>
      </w:r>
      <w:r w:rsidR="00FE032E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(</w:t>
      </w:r>
      <w:proofErr w:type="gramStart"/>
      <w:r w:rsidR="00FE032E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龔</w:t>
      </w:r>
      <w:proofErr w:type="gramEnd"/>
      <w:r w:rsidR="00FE032E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等人，2013)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。</w:t>
      </w:r>
      <w:r w:rsidR="00601487" w:rsidRPr="00E47E43">
        <w:rPr>
          <w:rFonts w:ascii="微軟正黑體" w:eastAsia="微軟正黑體" w:hAnsi="微軟正黑體" w:cs="Times New Roman"/>
          <w:color w:val="222222"/>
          <w:szCs w:val="24"/>
        </w:rPr>
        <w:t>根據相關文獻顯示，</w:t>
      </w:r>
      <w:r w:rsidR="000A4FC3" w:rsidRPr="00E47E43">
        <w:rPr>
          <w:rFonts w:ascii="微軟正黑體" w:eastAsia="微軟正黑體" w:hAnsi="微軟正黑體" w:cs="Times New Roman"/>
          <w:color w:val="222222"/>
          <w:szCs w:val="24"/>
        </w:rPr>
        <w:t>不同的環境會直接影響油料作物的生長發育、生理功能及其種子脂肪酸種類及含量。其中</w:t>
      </w:r>
      <w:r w:rsidR="009D7CBD" w:rsidRPr="00E47E43">
        <w:rPr>
          <w:rFonts w:ascii="微軟正黑體" w:eastAsia="微軟正黑體" w:hAnsi="微軟正黑體" w:cs="Times New Roman"/>
          <w:color w:val="222222"/>
          <w:szCs w:val="24"/>
        </w:rPr>
        <w:t>栽培於低緯度地區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因溫度較</w:t>
      </w:r>
      <w:r w:rsidR="009D7CBD" w:rsidRPr="00E47E43">
        <w:rPr>
          <w:rFonts w:ascii="微軟正黑體" w:eastAsia="微軟正黑體" w:hAnsi="微軟正黑體" w:cs="Times New Roman"/>
          <w:color w:val="222222"/>
          <w:szCs w:val="24"/>
        </w:rPr>
        <w:t>高會加快生長，但減少了種子積儲時間，</w:t>
      </w:r>
      <w:r w:rsidR="007103F6" w:rsidRPr="00E47E43">
        <w:rPr>
          <w:rFonts w:ascii="微軟正黑體" w:eastAsia="微軟正黑體" w:hAnsi="微軟正黑體" w:cs="Times New Roman"/>
          <w:color w:val="222222"/>
          <w:szCs w:val="24"/>
        </w:rPr>
        <w:t>故</w:t>
      </w:r>
      <w:r w:rsidR="000614E5" w:rsidRPr="00E47E43">
        <w:rPr>
          <w:rFonts w:ascii="微軟正黑體" w:eastAsia="微軟正黑體" w:hAnsi="微軟正黑體" w:cs="Times New Roman"/>
          <w:color w:val="222222"/>
          <w:szCs w:val="24"/>
        </w:rPr>
        <w:t>種子發育期的同化產物</w:t>
      </w:r>
      <w:proofErr w:type="gramStart"/>
      <w:r w:rsidR="000614E5" w:rsidRPr="00E47E43">
        <w:rPr>
          <w:rFonts w:ascii="微軟正黑體" w:eastAsia="微軟正黑體" w:hAnsi="微軟正黑體" w:cs="Times New Roman"/>
          <w:color w:val="222222"/>
          <w:szCs w:val="24"/>
        </w:rPr>
        <w:t>降低致含</w:t>
      </w:r>
      <w:r w:rsidR="004C23B0" w:rsidRPr="00E47E43">
        <w:rPr>
          <w:rFonts w:ascii="微軟正黑體" w:eastAsia="微軟正黑體" w:hAnsi="微軟正黑體" w:cs="Times New Roman"/>
          <w:color w:val="222222"/>
          <w:szCs w:val="24"/>
        </w:rPr>
        <w:t>油</w:t>
      </w:r>
      <w:proofErr w:type="gramEnd"/>
      <w:r w:rsidR="004C23B0" w:rsidRPr="00E47E43">
        <w:rPr>
          <w:rFonts w:ascii="微軟正黑體" w:eastAsia="微軟正黑體" w:hAnsi="微軟正黑體" w:cs="Times New Roman"/>
          <w:color w:val="222222"/>
          <w:szCs w:val="24"/>
        </w:rPr>
        <w:t>量</w:t>
      </w:r>
      <w:r w:rsidR="00FD77F5" w:rsidRPr="00E47E43">
        <w:rPr>
          <w:rFonts w:ascii="微軟正黑體" w:eastAsia="微軟正黑體" w:hAnsi="微軟正黑體" w:cs="Times New Roman"/>
          <w:color w:val="222222"/>
          <w:szCs w:val="24"/>
        </w:rPr>
        <w:t>下降</w:t>
      </w:r>
      <w:r w:rsidR="004C23B0" w:rsidRPr="00E47E43">
        <w:rPr>
          <w:rFonts w:ascii="微軟正黑體" w:eastAsia="微軟正黑體" w:hAnsi="微軟正黑體" w:cs="Times New Roman"/>
          <w:color w:val="222222"/>
          <w:szCs w:val="24"/>
        </w:rPr>
        <w:t>，</w:t>
      </w:r>
      <w:r w:rsidR="000614E5" w:rsidRPr="00E47E43">
        <w:rPr>
          <w:rFonts w:ascii="微軟正黑體" w:eastAsia="微軟正黑體" w:hAnsi="微軟正黑體" w:cs="Times New Roman"/>
          <w:color w:val="222222"/>
          <w:szCs w:val="24"/>
        </w:rPr>
        <w:t>而</w:t>
      </w:r>
      <w:r w:rsidR="009D7CBD" w:rsidRPr="00E47E43">
        <w:rPr>
          <w:rFonts w:ascii="微軟正黑體" w:eastAsia="微軟正黑體" w:hAnsi="微軟正黑體" w:cs="Times New Roman"/>
          <w:color w:val="222222"/>
          <w:szCs w:val="24"/>
        </w:rPr>
        <w:t>高緯度的低溫</w:t>
      </w:r>
      <w:r w:rsidR="000614E5" w:rsidRPr="00E47E43">
        <w:rPr>
          <w:rFonts w:ascii="微軟正黑體" w:eastAsia="微軟正黑體" w:hAnsi="微軟正黑體" w:cs="Times New Roman"/>
          <w:color w:val="222222"/>
          <w:szCs w:val="24"/>
        </w:rPr>
        <w:t>會增加種子的不飽和脂肪酸含量</w:t>
      </w:r>
      <w:r w:rsidR="004C23B0" w:rsidRPr="00E47E43">
        <w:rPr>
          <w:rFonts w:ascii="微軟正黑體" w:eastAsia="微軟正黑體" w:hAnsi="微軟正黑體" w:cs="Times New Roman"/>
          <w:color w:val="222222"/>
          <w:szCs w:val="24"/>
        </w:rPr>
        <w:t>，故生長期間的溫度顯著影響</w:t>
      </w:r>
      <w:proofErr w:type="gramStart"/>
      <w:r w:rsidR="004C23B0" w:rsidRPr="00E47E43">
        <w:rPr>
          <w:rFonts w:ascii="微軟正黑體" w:eastAsia="微軟正黑體" w:hAnsi="微軟正黑體" w:cs="Times New Roman"/>
          <w:color w:val="222222"/>
          <w:szCs w:val="24"/>
        </w:rPr>
        <w:t>含油率及</w:t>
      </w:r>
      <w:proofErr w:type="gramEnd"/>
      <w:r w:rsidR="004C23B0" w:rsidRPr="00E47E43">
        <w:rPr>
          <w:rFonts w:ascii="微軟正黑體" w:eastAsia="微軟正黑體" w:hAnsi="微軟正黑體" w:cs="Times New Roman"/>
          <w:color w:val="222222"/>
          <w:szCs w:val="24"/>
        </w:rPr>
        <w:t>脂肪酸組成</w:t>
      </w:r>
      <w:r w:rsidR="00FE032E" w:rsidRPr="00E47E43">
        <w:rPr>
          <w:rFonts w:ascii="微軟正黑體" w:eastAsia="微軟正黑體" w:hAnsi="微軟正黑體" w:cs="Times New Roman"/>
          <w:color w:val="222222"/>
          <w:szCs w:val="24"/>
        </w:rPr>
        <w:t>(</w:t>
      </w:r>
      <w:proofErr w:type="gramStart"/>
      <w:r w:rsidR="00FE032E" w:rsidRPr="00E47E43">
        <w:rPr>
          <w:rFonts w:ascii="微軟正黑體" w:eastAsia="微軟正黑體" w:hAnsi="微軟正黑體" w:cs="Times New Roman"/>
          <w:color w:val="222222"/>
          <w:szCs w:val="24"/>
        </w:rPr>
        <w:t>蔡</w:t>
      </w:r>
      <w:proofErr w:type="gramEnd"/>
      <w:r w:rsidR="00FE032E" w:rsidRPr="00E47E43">
        <w:rPr>
          <w:rFonts w:ascii="微軟正黑體" w:eastAsia="微軟正黑體" w:hAnsi="微軟正黑體" w:cs="Times New Roman"/>
          <w:color w:val="222222"/>
          <w:szCs w:val="24"/>
        </w:rPr>
        <w:t>，2011)</w:t>
      </w:r>
      <w:r w:rsidR="004C23B0" w:rsidRPr="00E47E43">
        <w:rPr>
          <w:rFonts w:ascii="微軟正黑體" w:eastAsia="微軟正黑體" w:hAnsi="微軟正黑體" w:cs="Times New Roman"/>
          <w:color w:val="222222"/>
          <w:szCs w:val="24"/>
        </w:rPr>
        <w:t>。</w:t>
      </w:r>
      <w:r w:rsidR="00FE032E" w:rsidRPr="00E47E43">
        <w:rPr>
          <w:rFonts w:ascii="微軟正黑體" w:eastAsia="微軟正黑體" w:hAnsi="微軟正黑體" w:cs="Times New Roman"/>
          <w:color w:val="222222"/>
          <w:szCs w:val="24"/>
        </w:rPr>
        <w:t>所以推測在臺灣冬季溫度不低於15℃</w:t>
      </w:r>
      <w:r w:rsidR="00085A87" w:rsidRPr="00E47E43">
        <w:rPr>
          <w:rFonts w:ascii="微軟正黑體" w:eastAsia="微軟正黑體" w:hAnsi="微軟正黑體" w:cs="Times New Roman"/>
          <w:color w:val="222222"/>
          <w:szCs w:val="24"/>
        </w:rPr>
        <w:t>的區域比較適合栽培。印加果</w:t>
      </w:r>
      <w:proofErr w:type="gramStart"/>
      <w:r w:rsidR="00085A87" w:rsidRPr="00E47E43">
        <w:rPr>
          <w:rFonts w:ascii="微軟正黑體" w:eastAsia="微軟正黑體" w:hAnsi="微軟正黑體" w:cs="Times New Roman"/>
          <w:color w:val="222222"/>
          <w:szCs w:val="24"/>
        </w:rPr>
        <w:t>屬於需光性</w:t>
      </w:r>
      <w:proofErr w:type="gramEnd"/>
      <w:r w:rsidR="00085A87" w:rsidRPr="00E47E43">
        <w:rPr>
          <w:rFonts w:ascii="微軟正黑體" w:eastAsia="微軟正黑體" w:hAnsi="微軟正黑體" w:cs="Times New Roman"/>
          <w:color w:val="222222"/>
          <w:szCs w:val="24"/>
        </w:rPr>
        <w:t>強的作物，葉片</w:t>
      </w:r>
      <w:proofErr w:type="gramStart"/>
      <w:r w:rsidR="00085A87" w:rsidRPr="00E47E43">
        <w:rPr>
          <w:rFonts w:ascii="微軟正黑體" w:eastAsia="微軟正黑體" w:hAnsi="微軟正黑體" w:cs="Times New Roman"/>
          <w:color w:val="222222"/>
          <w:szCs w:val="24"/>
        </w:rPr>
        <w:t>最大淨光合</w:t>
      </w:r>
      <w:proofErr w:type="gramEnd"/>
      <w:r w:rsidR="00085A87" w:rsidRPr="00E47E43">
        <w:rPr>
          <w:rFonts w:ascii="微軟正黑體" w:eastAsia="微軟正黑體" w:hAnsi="微軟正黑體" w:cs="Times New Roman"/>
          <w:color w:val="222222"/>
          <w:szCs w:val="24"/>
        </w:rPr>
        <w:t>速率高(大於20μmol/m</w:t>
      </w:r>
      <w:r w:rsidR="00085A87" w:rsidRPr="00E47E43">
        <w:rPr>
          <w:rFonts w:ascii="微軟正黑體" w:eastAsia="微軟正黑體" w:hAnsi="微軟正黑體" w:cs="Times New Roman"/>
          <w:color w:val="222222"/>
          <w:szCs w:val="24"/>
          <w:vertAlign w:val="superscript"/>
        </w:rPr>
        <w:t>2</w:t>
      </w:r>
      <w:r w:rsidR="00085A87" w:rsidRPr="00E47E43">
        <w:rPr>
          <w:rFonts w:ascii="微軟正黑體" w:eastAsia="微軟正黑體" w:hAnsi="微軟正黑體" w:cs="Times New Roman"/>
          <w:color w:val="222222"/>
          <w:szCs w:val="24"/>
        </w:rPr>
        <w:t>s)，故日照充足越有利於花芽萌發、開花及結果，</w:t>
      </w:r>
      <w:r w:rsidR="00DE29E1" w:rsidRPr="00E47E43">
        <w:rPr>
          <w:rFonts w:ascii="微軟正黑體" w:eastAsia="微軟正黑體" w:hAnsi="微軟正黑體" w:cs="Times New Roman"/>
          <w:color w:val="222222"/>
          <w:szCs w:val="24"/>
        </w:rPr>
        <w:t>且產生的</w:t>
      </w:r>
      <w:r w:rsidR="00085A87" w:rsidRPr="00E47E43">
        <w:rPr>
          <w:rFonts w:ascii="微軟正黑體" w:eastAsia="微軟正黑體" w:hAnsi="微軟正黑體" w:cs="Times New Roman"/>
          <w:color w:val="222222"/>
          <w:szCs w:val="24"/>
        </w:rPr>
        <w:t>嫩枝、花及果實的數量越多。</w:t>
      </w:r>
      <w:r w:rsidR="0089766F" w:rsidRPr="00E47E43">
        <w:rPr>
          <w:rFonts w:ascii="微軟正黑體" w:eastAsia="微軟正黑體" w:hAnsi="微軟正黑體" w:cs="Times New Roman"/>
          <w:color w:val="222222"/>
          <w:szCs w:val="24"/>
        </w:rPr>
        <w:t>印加果之土壤適應性廣，在</w:t>
      </w:r>
      <w:proofErr w:type="gramStart"/>
      <w:r w:rsidR="0089766F" w:rsidRPr="00E47E43">
        <w:rPr>
          <w:rFonts w:ascii="微軟正黑體" w:eastAsia="微軟正黑體" w:hAnsi="微軟正黑體" w:cs="Times New Roman"/>
          <w:color w:val="222222"/>
          <w:szCs w:val="24"/>
        </w:rPr>
        <w:t>黏土及砂質</w:t>
      </w:r>
      <w:proofErr w:type="gramEnd"/>
      <w:r w:rsidR="0089766F" w:rsidRPr="00E47E43">
        <w:rPr>
          <w:rFonts w:ascii="微軟正黑體" w:eastAsia="微軟正黑體" w:hAnsi="微軟正黑體" w:cs="Times New Roman"/>
          <w:color w:val="222222"/>
          <w:szCs w:val="24"/>
        </w:rPr>
        <w:t>壤土皆能生長良好，乾旱及低溫的環境，是造成其植株生長發育緩慢的主要因素，直接影響產量(</w:t>
      </w:r>
      <w:proofErr w:type="gramStart"/>
      <w:r w:rsidR="0089766F" w:rsidRPr="00E47E43">
        <w:rPr>
          <w:rFonts w:ascii="微軟正黑體" w:eastAsia="微軟正黑體" w:hAnsi="微軟正黑體" w:cs="Times New Roman"/>
          <w:color w:val="222222"/>
          <w:szCs w:val="24"/>
        </w:rPr>
        <w:t>蔡</w:t>
      </w:r>
      <w:proofErr w:type="gramEnd"/>
      <w:r w:rsidR="0089766F" w:rsidRPr="00E47E43">
        <w:rPr>
          <w:rFonts w:ascii="微軟正黑體" w:eastAsia="微軟正黑體" w:hAnsi="微軟正黑體" w:cs="Times New Roman"/>
          <w:color w:val="222222"/>
          <w:szCs w:val="24"/>
        </w:rPr>
        <w:t>，2011)。</w:t>
      </w:r>
    </w:p>
    <w:p w:rsidR="004960A8" w:rsidRPr="00E47E43" w:rsidRDefault="004960A8" w:rsidP="00DF4374">
      <w:pPr>
        <w:autoSpaceDE w:val="0"/>
        <w:autoSpaceDN w:val="0"/>
        <w:adjustRightInd w:val="0"/>
        <w:ind w:firstLineChars="177" w:firstLine="425"/>
        <w:rPr>
          <w:rFonts w:ascii="微軟正黑體" w:eastAsia="微軟正黑體" w:hAnsi="微軟正黑體" w:cs="Times New Roman"/>
          <w:color w:val="222222"/>
          <w:szCs w:val="24"/>
        </w:rPr>
      </w:pPr>
      <w:r w:rsidRPr="00E47E43">
        <w:rPr>
          <w:rFonts w:ascii="微軟正黑體" w:eastAsia="微軟正黑體" w:hAnsi="微軟正黑體" w:cs="Times New Roman"/>
          <w:color w:val="222222"/>
          <w:szCs w:val="24"/>
        </w:rPr>
        <w:t>印加果屬於多年生藤本植物，</w:t>
      </w:r>
      <w:r w:rsidR="00A50B5C" w:rsidRPr="00E47E43">
        <w:rPr>
          <w:rFonts w:ascii="微軟正黑體" w:eastAsia="微軟正黑體" w:hAnsi="微軟正黑體" w:cs="Times New Roman"/>
          <w:color w:val="222222"/>
          <w:szCs w:val="24"/>
        </w:rPr>
        <w:t>可立支柱或搭設棚架供其攀附生長，同時配合修剪控制樹型及保留結果枝，有利於促進產量。</w:t>
      </w:r>
      <w:r w:rsidR="008B6B19" w:rsidRPr="00E47E43">
        <w:rPr>
          <w:rFonts w:ascii="微軟正黑體" w:eastAsia="微軟正黑體" w:hAnsi="微軟正黑體" w:cs="Times New Roman"/>
          <w:color w:val="222222"/>
          <w:szCs w:val="24"/>
        </w:rPr>
        <w:t>目前</w:t>
      </w:r>
      <w:proofErr w:type="gramStart"/>
      <w:r w:rsidR="008B6B19" w:rsidRPr="00E47E43">
        <w:rPr>
          <w:rFonts w:ascii="微軟正黑體" w:eastAsia="微軟正黑體" w:hAnsi="微軟正黑體" w:cs="Times New Roman"/>
          <w:color w:val="222222"/>
          <w:szCs w:val="24"/>
        </w:rPr>
        <w:t>採</w:t>
      </w:r>
      <w:proofErr w:type="gramEnd"/>
      <w:r w:rsidR="008B6B19" w:rsidRPr="00E47E43">
        <w:rPr>
          <w:rFonts w:ascii="微軟正黑體" w:eastAsia="微軟正黑體" w:hAnsi="微軟正黑體" w:cs="Times New Roman"/>
          <w:color w:val="222222"/>
          <w:szCs w:val="24"/>
        </w:rPr>
        <w:t>行栽培方式有單株立柱、</w:t>
      </w:r>
      <w:r w:rsidR="008402FA" w:rsidRPr="00E47E43">
        <w:rPr>
          <w:rFonts w:ascii="微軟正黑體" w:eastAsia="微軟正黑體" w:hAnsi="微軟正黑體" w:cs="Times New Roman"/>
          <w:color w:val="222222"/>
          <w:szCs w:val="24"/>
        </w:rPr>
        <w:t>籬</w:t>
      </w:r>
      <w:r w:rsidR="008B6B19" w:rsidRPr="00E47E43">
        <w:rPr>
          <w:rFonts w:ascii="微軟正黑體" w:eastAsia="微軟正黑體" w:hAnsi="微軟正黑體" w:cs="Times New Roman"/>
          <w:color w:val="222222"/>
          <w:szCs w:val="24"/>
        </w:rPr>
        <w:t>壁</w:t>
      </w:r>
      <w:r w:rsidR="008402FA" w:rsidRPr="00E47E43">
        <w:rPr>
          <w:rFonts w:ascii="微軟正黑體" w:eastAsia="微軟正黑體" w:hAnsi="微軟正黑體" w:cs="Times New Roman"/>
          <w:color w:val="222222"/>
          <w:szCs w:val="24"/>
        </w:rPr>
        <w:t>式及水平棚架等，每公頃</w:t>
      </w:r>
      <w:proofErr w:type="gramStart"/>
      <w:r w:rsidR="008402FA" w:rsidRPr="00E47E43">
        <w:rPr>
          <w:rFonts w:ascii="微軟正黑體" w:eastAsia="微軟正黑體" w:hAnsi="微軟正黑體" w:cs="Times New Roman"/>
          <w:color w:val="222222"/>
          <w:szCs w:val="24"/>
        </w:rPr>
        <w:t>定植約</w:t>
      </w:r>
      <w:proofErr w:type="gramEnd"/>
      <w:r w:rsidR="008402FA" w:rsidRPr="00E47E43">
        <w:rPr>
          <w:rFonts w:ascii="微軟正黑體" w:eastAsia="微軟正黑體" w:hAnsi="微軟正黑體" w:cs="Times New Roman"/>
          <w:color w:val="222222"/>
          <w:szCs w:val="24"/>
        </w:rPr>
        <w:t>1500-2000株，</w:t>
      </w:r>
      <w:r w:rsidR="003A6CD7" w:rsidRPr="00E47E43">
        <w:rPr>
          <w:rFonts w:ascii="微軟正黑體" w:eastAsia="微軟正黑體" w:hAnsi="微軟正黑體" w:cs="Times New Roman"/>
          <w:color w:val="222222"/>
          <w:szCs w:val="24"/>
        </w:rPr>
        <w:t>臺灣適合的栽培方式及管理模式尚待研究。</w:t>
      </w:r>
    </w:p>
    <w:p w:rsidR="004B305A" w:rsidRPr="00E47E43" w:rsidRDefault="004B305A" w:rsidP="004B305A">
      <w:pPr>
        <w:pStyle w:val="ab"/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lastRenderedPageBreak/>
        <w:t>結語</w:t>
      </w:r>
    </w:p>
    <w:p w:rsidR="004B305A" w:rsidRPr="00E47E43" w:rsidRDefault="004B305A" w:rsidP="003670CB">
      <w:pPr>
        <w:ind w:firstLineChars="236" w:firstLine="566"/>
        <w:rPr>
          <w:rFonts w:ascii="微軟正黑體" w:eastAsia="微軟正黑體" w:hAnsi="微軟正黑體" w:cs="Times New Roman"/>
          <w:szCs w:val="24"/>
        </w:rPr>
      </w:pPr>
      <w:r w:rsidRPr="00E47E43">
        <w:rPr>
          <w:rFonts w:ascii="微軟正黑體" w:eastAsia="微軟正黑體" w:hAnsi="微軟正黑體" w:cs="Times New Roman"/>
          <w:szCs w:val="24"/>
        </w:rPr>
        <w:t>印加果是近年來引進臺灣的新興油料作物，栽培方興未艾，加上</w:t>
      </w:r>
      <w:proofErr w:type="gramStart"/>
      <w:r w:rsidRPr="00E47E43">
        <w:rPr>
          <w:rFonts w:ascii="微軟正黑體" w:eastAsia="微軟正黑體" w:hAnsi="微軟正黑體" w:cs="Times New Roman"/>
          <w:szCs w:val="24"/>
        </w:rPr>
        <w:t>油品富含有</w:t>
      </w:r>
      <w:proofErr w:type="gramEnd"/>
      <w:r w:rsidRPr="00E47E43">
        <w:rPr>
          <w:rFonts w:ascii="微軟正黑體" w:eastAsia="微軟正黑體" w:hAnsi="微軟正黑體" w:cs="Times New Roman"/>
          <w:szCs w:val="24"/>
        </w:rPr>
        <w:t>高量的</w:t>
      </w:r>
      <w:r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Omega-3(ω-3)成分，特別受到消費者及栽培者的青睞與關注。根據原生環境可選擇光照充足、冬季無過度低溫的區域栽培，但目前對其栽培模式及病蟲害管理尚乏相關研究，有待進一步確認與建立。</w:t>
      </w:r>
      <w:proofErr w:type="gramStart"/>
      <w:r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此外，</w:t>
      </w:r>
      <w:proofErr w:type="gramEnd"/>
      <w:r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新興油料作物產品研發、市場需求與通路建立，亦是投入生產需審慎評估的項目。</w:t>
      </w:r>
      <w:r w:rsidR="00292090"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印加果具有降血脂、美容保健效果，必受消費者喜愛，</w:t>
      </w:r>
      <w:r w:rsidRPr="00E47E43">
        <w:rPr>
          <w:rFonts w:ascii="微軟正黑體" w:eastAsia="微軟正黑體" w:hAnsi="微軟正黑體" w:cs="Times New Roman"/>
          <w:color w:val="000000"/>
          <w:kern w:val="0"/>
          <w:szCs w:val="24"/>
        </w:rPr>
        <w:t>希望此新興的油料作物也能在臺灣市場佔有一席之地。</w:t>
      </w:r>
    </w:p>
    <w:p w:rsidR="003A6CD7" w:rsidRPr="00E47E43" w:rsidRDefault="008C1DEC" w:rsidP="008C1DEC">
      <w:pPr>
        <w:autoSpaceDE w:val="0"/>
        <w:autoSpaceDN w:val="0"/>
        <w:adjustRightInd w:val="0"/>
        <w:jc w:val="center"/>
        <w:rPr>
          <w:rFonts w:ascii="微軟正黑體" w:eastAsia="微軟正黑體" w:hAnsi="微軟正黑體" w:cs="Times New Roman"/>
          <w:color w:val="222222"/>
          <w:szCs w:val="24"/>
        </w:rPr>
      </w:pPr>
      <w:r w:rsidRPr="00E47E43">
        <w:rPr>
          <w:rFonts w:ascii="微軟正黑體" w:eastAsia="微軟正黑體" w:hAnsi="微軟正黑體" w:cs="Times New Roman"/>
          <w:color w:val="222222"/>
          <w:szCs w:val="24"/>
        </w:rPr>
        <w:t>參考文</w:t>
      </w:r>
      <w:r w:rsidRPr="00E47E43">
        <w:rPr>
          <w:rFonts w:ascii="微軟正黑體" w:eastAsia="微軟正黑體" w:hAnsi="微軟正黑體" w:cs="Times New Roman" w:hint="eastAsia"/>
          <w:color w:val="222222"/>
          <w:szCs w:val="24"/>
        </w:rPr>
        <w:t>獻</w:t>
      </w:r>
    </w:p>
    <w:p w:rsidR="00CF2F34" w:rsidRPr="00E47E43" w:rsidRDefault="00CF2F34" w:rsidP="00CF2F34">
      <w:pPr>
        <w:pStyle w:val="HTML"/>
        <w:shd w:val="clear" w:color="auto" w:fill="FFFFFF"/>
        <w:rPr>
          <w:rFonts w:ascii="微軟正黑體" w:eastAsia="微軟正黑體" w:hAnsi="微軟正黑體" w:hint="eastAsia"/>
          <w:color w:val="212121"/>
        </w:rPr>
      </w:pPr>
      <w:r w:rsidRPr="00E47E43">
        <w:rPr>
          <w:rFonts w:ascii="微軟正黑體" w:eastAsia="微軟正黑體" w:hAnsi="微軟正黑體" w:hint="eastAsia"/>
          <w:color w:val="212121"/>
        </w:rPr>
        <w:t>蔡志全。2011。特種木本油料作物</w:t>
      </w:r>
      <w:proofErr w:type="gramStart"/>
      <w:r w:rsidRPr="00E47E43">
        <w:rPr>
          <w:rFonts w:ascii="微軟正黑體" w:eastAsia="微軟正黑體" w:hAnsi="微軟正黑體" w:hint="eastAsia"/>
          <w:color w:val="212121"/>
        </w:rPr>
        <w:t>星油藤</w:t>
      </w:r>
      <w:proofErr w:type="gramEnd"/>
      <w:r w:rsidRPr="00E47E43">
        <w:rPr>
          <w:rFonts w:ascii="微軟正黑體" w:eastAsia="微軟正黑體" w:hAnsi="微軟正黑體" w:hint="eastAsia"/>
          <w:color w:val="212121"/>
        </w:rPr>
        <w:t>的研究進展。中國油脂36(10)：1-6。</w:t>
      </w:r>
    </w:p>
    <w:p w:rsidR="00FF04D5" w:rsidRPr="00E47E43" w:rsidRDefault="00FF04D5" w:rsidP="00FF04D5">
      <w:pPr>
        <w:pStyle w:val="HTML"/>
        <w:shd w:val="clear" w:color="auto" w:fill="FFFFFF"/>
        <w:rPr>
          <w:rFonts w:ascii="微軟正黑體" w:eastAsia="微軟正黑體" w:hAnsi="微軟正黑體" w:hint="eastAsia"/>
          <w:color w:val="212121"/>
        </w:rPr>
      </w:pPr>
      <w:r w:rsidRPr="00E47E43">
        <w:rPr>
          <w:rFonts w:ascii="微軟正黑體" w:eastAsia="微軟正黑體" w:hAnsi="微軟正黑體" w:hint="eastAsia"/>
          <w:color w:val="212121"/>
        </w:rPr>
        <w:t xml:space="preserve">張嘉怡，杜冰，謝藍華，陳軍，陳佳，楊公明2013綠色新資源食品 - </w:t>
      </w:r>
      <w:proofErr w:type="gramStart"/>
      <w:r w:rsidRPr="00E47E43">
        <w:rPr>
          <w:rFonts w:ascii="微軟正黑體" w:eastAsia="微軟正黑體" w:hAnsi="微軟正黑體" w:hint="eastAsia"/>
          <w:color w:val="212121"/>
        </w:rPr>
        <w:t>美藤果油</w:t>
      </w:r>
      <w:proofErr w:type="gramEnd"/>
      <w:r w:rsidRPr="00E47E43">
        <w:rPr>
          <w:rFonts w:ascii="微軟正黑體" w:eastAsia="微軟正黑體" w:hAnsi="微軟正黑體" w:hint="eastAsia"/>
          <w:color w:val="212121"/>
        </w:rPr>
        <w:t>中國油脂38(7)：1-4</w:t>
      </w:r>
    </w:p>
    <w:p w:rsidR="00FF04D5" w:rsidRPr="00E47E43" w:rsidRDefault="00FF04D5" w:rsidP="00FF04D5">
      <w:pPr>
        <w:pStyle w:val="HTML"/>
        <w:shd w:val="clear" w:color="auto" w:fill="FFFFFF"/>
        <w:rPr>
          <w:rFonts w:ascii="微軟正黑體" w:eastAsia="微軟正黑體" w:hAnsi="微軟正黑體" w:hint="eastAsia"/>
          <w:color w:val="212121"/>
        </w:rPr>
      </w:pPr>
      <w:r w:rsidRPr="00E47E43">
        <w:rPr>
          <w:rFonts w:ascii="微軟正黑體" w:eastAsia="微軟正黑體" w:hAnsi="微軟正黑體" w:hint="eastAsia"/>
          <w:color w:val="212121"/>
        </w:rPr>
        <w:t>鄭科、谷麗萍、劉玉蓉、晏學衛。2016。</w:t>
      </w:r>
      <w:proofErr w:type="gramStart"/>
      <w:r w:rsidRPr="00E47E43">
        <w:rPr>
          <w:rFonts w:ascii="微軟正黑體" w:eastAsia="微軟正黑體" w:hAnsi="微軟正黑體" w:hint="eastAsia"/>
          <w:color w:val="212121"/>
        </w:rPr>
        <w:t>景洪市</w:t>
      </w:r>
      <w:proofErr w:type="gramEnd"/>
      <w:r w:rsidRPr="00E47E43">
        <w:rPr>
          <w:rFonts w:ascii="微軟正黑體" w:eastAsia="微軟正黑體" w:hAnsi="微軟正黑體" w:hint="eastAsia"/>
          <w:color w:val="212121"/>
        </w:rPr>
        <w:t>普文鎮</w:t>
      </w:r>
      <w:proofErr w:type="gramStart"/>
      <w:r w:rsidRPr="00E47E43">
        <w:rPr>
          <w:rFonts w:ascii="微軟正黑體" w:eastAsia="微軟正黑體" w:hAnsi="微軟正黑體" w:hint="eastAsia"/>
          <w:color w:val="212121"/>
        </w:rPr>
        <w:t>南美油藤的</w:t>
      </w:r>
      <w:proofErr w:type="gramEnd"/>
      <w:r w:rsidRPr="00E47E43">
        <w:rPr>
          <w:rFonts w:ascii="微軟正黑體" w:eastAsia="微軟正黑體" w:hAnsi="微軟正黑體" w:hint="eastAsia"/>
          <w:color w:val="212121"/>
        </w:rPr>
        <w:t>生長結實特徵研究。現代農業科技24：139-141。</w:t>
      </w:r>
    </w:p>
    <w:p w:rsidR="00CF2F34" w:rsidRPr="00E47E43" w:rsidRDefault="00CF2F34" w:rsidP="00CF2F34">
      <w:pPr>
        <w:pStyle w:val="HTML"/>
        <w:shd w:val="clear" w:color="auto" w:fill="FFFFFF"/>
        <w:rPr>
          <w:rFonts w:ascii="微軟正黑體" w:eastAsia="微軟正黑體" w:hAnsi="微軟正黑體" w:hint="eastAsia"/>
          <w:color w:val="212121"/>
        </w:rPr>
      </w:pPr>
      <w:r w:rsidRPr="00E47E43">
        <w:rPr>
          <w:rFonts w:ascii="微軟正黑體" w:eastAsia="微軟正黑體" w:hAnsi="微軟正黑體" w:hint="eastAsia"/>
          <w:color w:val="212121"/>
        </w:rPr>
        <w:t>龔德勇、張燕、王曉敏、張可元、劉清國。2013。特色保健油料植物</w:t>
      </w:r>
      <w:proofErr w:type="gramStart"/>
      <w:r w:rsidRPr="00E47E43">
        <w:rPr>
          <w:rFonts w:ascii="微軟正黑體" w:eastAsia="微軟正黑體" w:hAnsi="微軟正黑體" w:hint="eastAsia"/>
          <w:color w:val="212121"/>
        </w:rPr>
        <w:t>星油藤</w:t>
      </w:r>
      <w:proofErr w:type="gramEnd"/>
      <w:r w:rsidRPr="00E47E43">
        <w:rPr>
          <w:rFonts w:ascii="微軟正黑體" w:eastAsia="微軟正黑體" w:hAnsi="微軟正黑體" w:hint="eastAsia"/>
          <w:color w:val="212121"/>
        </w:rPr>
        <w:t>引種栽培試驗研究。江西農業學報25(10)：5-9。</w:t>
      </w:r>
    </w:p>
    <w:p w:rsidR="00CF2F34" w:rsidRPr="00E47E43" w:rsidRDefault="00CF2F34" w:rsidP="00CF2F34">
      <w:pPr>
        <w:pStyle w:val="HTML"/>
        <w:shd w:val="clear" w:color="auto" w:fill="FFFFFF"/>
        <w:rPr>
          <w:rFonts w:ascii="微軟正黑體" w:eastAsia="微軟正黑體" w:hAnsi="微軟正黑體" w:hint="eastAsia"/>
          <w:color w:val="212121"/>
        </w:rPr>
      </w:pPr>
    </w:p>
    <w:p w:rsidR="00CF2F34" w:rsidRPr="00E47E43" w:rsidRDefault="00CF2F34" w:rsidP="00CF2F3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微軟正黑體" w:eastAsia="微軟正黑體" w:hAnsi="微軟正黑體" w:cs="細明體" w:hint="eastAsia"/>
          <w:color w:val="212121"/>
          <w:kern w:val="0"/>
          <w:szCs w:val="24"/>
        </w:rPr>
      </w:pPr>
    </w:p>
    <w:p w:rsidR="008C1DEC" w:rsidRPr="00E47E43" w:rsidRDefault="008C1DEC" w:rsidP="00B42DBC">
      <w:pPr>
        <w:autoSpaceDE w:val="0"/>
        <w:autoSpaceDN w:val="0"/>
        <w:adjustRightInd w:val="0"/>
        <w:rPr>
          <w:rFonts w:ascii="微軟正黑體" w:eastAsia="微軟正黑體" w:hAnsi="微軟正黑體" w:cs="Times New Roman"/>
          <w:color w:val="222222"/>
          <w:szCs w:val="24"/>
        </w:rPr>
      </w:pPr>
    </w:p>
    <w:p w:rsidR="00710800" w:rsidRPr="00E47E43" w:rsidRDefault="00710800" w:rsidP="00710800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  <w:noProof/>
        </w:rPr>
        <w:lastRenderedPageBreak/>
        <w:drawing>
          <wp:inline distT="0" distB="0" distL="0" distR="0">
            <wp:extent cx="3114675" cy="2070194"/>
            <wp:effectExtent l="19050" t="0" r="9525" b="0"/>
            <wp:docPr id="8" name="圖片 1" descr="F:\DCIM\116ND300\DSC_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16ND300\DSC_5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041" cy="207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800" w:rsidRPr="00E47E43" w:rsidRDefault="00CB3EF7" w:rsidP="00710800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圖1.印加果種苗</w:t>
      </w:r>
    </w:p>
    <w:p w:rsidR="00710800" w:rsidRPr="00E47E43" w:rsidRDefault="00710800" w:rsidP="00710800">
      <w:pPr>
        <w:rPr>
          <w:rFonts w:ascii="微軟正黑體" w:eastAsia="微軟正黑體" w:hAnsi="微軟正黑體" w:cs="Times New Roman"/>
        </w:rPr>
      </w:pPr>
    </w:p>
    <w:p w:rsidR="00710800" w:rsidRPr="00E47E43" w:rsidRDefault="00710800" w:rsidP="00710800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  <w:noProof/>
        </w:rPr>
        <w:drawing>
          <wp:inline distT="0" distB="0" distL="0" distR="0">
            <wp:extent cx="2006883" cy="3019425"/>
            <wp:effectExtent l="19050" t="0" r="0" b="0"/>
            <wp:docPr id="10" name="圖片 3" descr="F:\DCIM\116ND300\DSC_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16ND300\DSC_5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95" cy="302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EF7" w:rsidRPr="00E47E43" w:rsidRDefault="00CB3EF7" w:rsidP="00CB3EF7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圖2.印加果花序</w:t>
      </w:r>
    </w:p>
    <w:p w:rsidR="00CB3EF7" w:rsidRPr="00E47E43" w:rsidRDefault="00CB3EF7" w:rsidP="00710800">
      <w:pPr>
        <w:rPr>
          <w:rFonts w:ascii="微軟正黑體" w:eastAsia="微軟正黑體" w:hAnsi="微軟正黑體" w:cs="Times New Roman"/>
        </w:rPr>
      </w:pPr>
    </w:p>
    <w:p w:rsidR="00710800" w:rsidRPr="00E47E43" w:rsidRDefault="00710800" w:rsidP="00710800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  <w:noProof/>
        </w:rPr>
        <w:lastRenderedPageBreak/>
        <w:drawing>
          <wp:inline distT="0" distB="0" distL="0" distR="0">
            <wp:extent cx="3138418" cy="2085975"/>
            <wp:effectExtent l="19050" t="0" r="4832" b="0"/>
            <wp:docPr id="11" name="圖片 2" descr="F:\DCIM\116ND300\DSC_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16ND300\DSC_5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79" cy="208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EF7" w:rsidRPr="00E47E43" w:rsidRDefault="00CB3EF7" w:rsidP="00CB3EF7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圖3.印加果幼果</w:t>
      </w:r>
    </w:p>
    <w:p w:rsidR="00710800" w:rsidRPr="00E47E43" w:rsidRDefault="00710800" w:rsidP="00710800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  <w:noProof/>
        </w:rPr>
        <w:drawing>
          <wp:inline distT="0" distB="0" distL="0" distR="0">
            <wp:extent cx="3114675" cy="2070193"/>
            <wp:effectExtent l="19050" t="0" r="9525" b="0"/>
            <wp:docPr id="12" name="圖片 5" descr="F:\DCIM\116ND300\DSC_6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16ND300\DSC_66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67" cy="207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EF7" w:rsidRPr="00E47E43" w:rsidRDefault="00CB3EF7" w:rsidP="00710800">
      <w:pPr>
        <w:rPr>
          <w:rFonts w:ascii="微軟正黑體" w:eastAsia="微軟正黑體" w:hAnsi="微軟正黑體" w:cs="Times New Roman"/>
        </w:rPr>
      </w:pPr>
      <w:r w:rsidRPr="00E47E43">
        <w:rPr>
          <w:rFonts w:ascii="微軟正黑體" w:eastAsia="微軟正黑體" w:hAnsi="微軟正黑體" w:cs="Times New Roman"/>
        </w:rPr>
        <w:t>圖4.印加果種子</w:t>
      </w:r>
    </w:p>
    <w:sectPr w:rsidR="00CB3EF7" w:rsidRPr="00E47E43" w:rsidSect="005E6F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E47" w:rsidRPr="002E1896" w:rsidRDefault="00603E47" w:rsidP="00537F1E">
      <w:pPr>
        <w:rPr>
          <w:rFonts w:eastAsia="新細明體"/>
        </w:rPr>
      </w:pPr>
      <w:r>
        <w:separator/>
      </w:r>
    </w:p>
  </w:endnote>
  <w:endnote w:type="continuationSeparator" w:id="0">
    <w:p w:rsidR="00603E47" w:rsidRPr="002E1896" w:rsidRDefault="00603E47" w:rsidP="00537F1E">
      <w:pPr>
        <w:rPr>
          <w:rFonts w:eastAsia="新細明體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E47" w:rsidRPr="002E1896" w:rsidRDefault="00603E47" w:rsidP="00537F1E">
      <w:pPr>
        <w:rPr>
          <w:rFonts w:eastAsia="新細明體"/>
        </w:rPr>
      </w:pPr>
      <w:r>
        <w:separator/>
      </w:r>
    </w:p>
  </w:footnote>
  <w:footnote w:type="continuationSeparator" w:id="0">
    <w:p w:rsidR="00603E47" w:rsidRPr="002E1896" w:rsidRDefault="00603E47" w:rsidP="00537F1E">
      <w:pPr>
        <w:rPr>
          <w:rFonts w:eastAsia="新細明體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5407"/>
    <w:multiLevelType w:val="hybridMultilevel"/>
    <w:tmpl w:val="80E428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B71F9D"/>
    <w:multiLevelType w:val="hybridMultilevel"/>
    <w:tmpl w:val="F6CC868C"/>
    <w:lvl w:ilvl="0" w:tplc="889678A0">
      <w:start w:val="1"/>
      <w:numFmt w:val="decimal"/>
      <w:lvlText w:val="%1."/>
      <w:lvlJc w:val="left"/>
      <w:pPr>
        <w:ind w:left="780" w:hanging="360"/>
      </w:pPr>
      <w:rPr>
        <w:rFonts w:cs="SimSun" w:hint="default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>
    <w:nsid w:val="36BF08FF"/>
    <w:multiLevelType w:val="hybridMultilevel"/>
    <w:tmpl w:val="3A04071E"/>
    <w:lvl w:ilvl="0" w:tplc="90F20544">
      <w:start w:val="1"/>
      <w:numFmt w:val="taiwaneseCountingThousand"/>
      <w:lvlText w:val="%1、"/>
      <w:lvlJc w:val="left"/>
      <w:pPr>
        <w:ind w:left="420" w:hanging="420"/>
      </w:pPr>
      <w:rPr>
        <w:rFonts w:ascii="SimSun" w:cs="SimSun" w:hint="default"/>
        <w:color w:val="000000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3BB0"/>
    <w:rsid w:val="000105F7"/>
    <w:rsid w:val="000176F6"/>
    <w:rsid w:val="00031427"/>
    <w:rsid w:val="000614E5"/>
    <w:rsid w:val="0008560C"/>
    <w:rsid w:val="00085A87"/>
    <w:rsid w:val="00090F1D"/>
    <w:rsid w:val="000A4FC3"/>
    <w:rsid w:val="001028A1"/>
    <w:rsid w:val="00113E61"/>
    <w:rsid w:val="001344E1"/>
    <w:rsid w:val="00167067"/>
    <w:rsid w:val="001913A0"/>
    <w:rsid w:val="001C6B42"/>
    <w:rsid w:val="001D646C"/>
    <w:rsid w:val="00235C1B"/>
    <w:rsid w:val="00260AC5"/>
    <w:rsid w:val="00273AFC"/>
    <w:rsid w:val="00275657"/>
    <w:rsid w:val="00280236"/>
    <w:rsid w:val="00292090"/>
    <w:rsid w:val="002A7343"/>
    <w:rsid w:val="002B0B4C"/>
    <w:rsid w:val="002C2A3F"/>
    <w:rsid w:val="002E4CC4"/>
    <w:rsid w:val="002E4E61"/>
    <w:rsid w:val="00333363"/>
    <w:rsid w:val="0033420F"/>
    <w:rsid w:val="003670CB"/>
    <w:rsid w:val="00381EFB"/>
    <w:rsid w:val="003A6CD7"/>
    <w:rsid w:val="003E4B6E"/>
    <w:rsid w:val="00482548"/>
    <w:rsid w:val="00492093"/>
    <w:rsid w:val="004960A8"/>
    <w:rsid w:val="004B305A"/>
    <w:rsid w:val="004C23B0"/>
    <w:rsid w:val="005106B5"/>
    <w:rsid w:val="00537F1E"/>
    <w:rsid w:val="0057704F"/>
    <w:rsid w:val="00591632"/>
    <w:rsid w:val="00594F0B"/>
    <w:rsid w:val="005E23EC"/>
    <w:rsid w:val="005E6F05"/>
    <w:rsid w:val="00601487"/>
    <w:rsid w:val="00603E47"/>
    <w:rsid w:val="0061074C"/>
    <w:rsid w:val="00630AA6"/>
    <w:rsid w:val="00653BB0"/>
    <w:rsid w:val="006651AA"/>
    <w:rsid w:val="006B2BD4"/>
    <w:rsid w:val="006C5475"/>
    <w:rsid w:val="007103F6"/>
    <w:rsid w:val="00710800"/>
    <w:rsid w:val="007821BF"/>
    <w:rsid w:val="00782D9E"/>
    <w:rsid w:val="007831AB"/>
    <w:rsid w:val="007D1D1D"/>
    <w:rsid w:val="007E3718"/>
    <w:rsid w:val="007F132E"/>
    <w:rsid w:val="008402FA"/>
    <w:rsid w:val="008549B7"/>
    <w:rsid w:val="00860957"/>
    <w:rsid w:val="0089766F"/>
    <w:rsid w:val="008B29EA"/>
    <w:rsid w:val="008B2FE1"/>
    <w:rsid w:val="008B622E"/>
    <w:rsid w:val="008B6B19"/>
    <w:rsid w:val="008C1DEC"/>
    <w:rsid w:val="008C42EF"/>
    <w:rsid w:val="008F354C"/>
    <w:rsid w:val="00903431"/>
    <w:rsid w:val="009336D0"/>
    <w:rsid w:val="00966418"/>
    <w:rsid w:val="00997029"/>
    <w:rsid w:val="009D36F5"/>
    <w:rsid w:val="009D7CBD"/>
    <w:rsid w:val="009E32EB"/>
    <w:rsid w:val="00A456B1"/>
    <w:rsid w:val="00A50B5C"/>
    <w:rsid w:val="00A71DE6"/>
    <w:rsid w:val="00A86562"/>
    <w:rsid w:val="00A97144"/>
    <w:rsid w:val="00AA0C80"/>
    <w:rsid w:val="00AE0467"/>
    <w:rsid w:val="00B22D79"/>
    <w:rsid w:val="00B27AF6"/>
    <w:rsid w:val="00B40146"/>
    <w:rsid w:val="00B42DBC"/>
    <w:rsid w:val="00B53989"/>
    <w:rsid w:val="00B55FAA"/>
    <w:rsid w:val="00B7713A"/>
    <w:rsid w:val="00BB6128"/>
    <w:rsid w:val="00BE664A"/>
    <w:rsid w:val="00C03ADE"/>
    <w:rsid w:val="00C26DF5"/>
    <w:rsid w:val="00C637EA"/>
    <w:rsid w:val="00C86B4C"/>
    <w:rsid w:val="00CB0B51"/>
    <w:rsid w:val="00CB3EF7"/>
    <w:rsid w:val="00CD4AF7"/>
    <w:rsid w:val="00CE3B75"/>
    <w:rsid w:val="00CF2F34"/>
    <w:rsid w:val="00D1459F"/>
    <w:rsid w:val="00D157D5"/>
    <w:rsid w:val="00D162B7"/>
    <w:rsid w:val="00D2794A"/>
    <w:rsid w:val="00D56072"/>
    <w:rsid w:val="00D96B34"/>
    <w:rsid w:val="00DC4C04"/>
    <w:rsid w:val="00DD6599"/>
    <w:rsid w:val="00DE29E1"/>
    <w:rsid w:val="00DE3DD9"/>
    <w:rsid w:val="00DF4374"/>
    <w:rsid w:val="00E05DE7"/>
    <w:rsid w:val="00E120BE"/>
    <w:rsid w:val="00E47E43"/>
    <w:rsid w:val="00E6442C"/>
    <w:rsid w:val="00E664EC"/>
    <w:rsid w:val="00E816FD"/>
    <w:rsid w:val="00E82B0C"/>
    <w:rsid w:val="00E942F7"/>
    <w:rsid w:val="00EA0672"/>
    <w:rsid w:val="00F578BE"/>
    <w:rsid w:val="00F81E0D"/>
    <w:rsid w:val="00F975C3"/>
    <w:rsid w:val="00FD77F5"/>
    <w:rsid w:val="00FE032E"/>
    <w:rsid w:val="00FE0914"/>
    <w:rsid w:val="00FF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A"/>
    <w:pPr>
      <w:ind w:leftChars="200" w:left="480"/>
    </w:pPr>
  </w:style>
  <w:style w:type="table" w:styleId="a4">
    <w:name w:val="Table Grid"/>
    <w:basedOn w:val="a1"/>
    <w:uiPriority w:val="59"/>
    <w:rsid w:val="008C42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37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37F1E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37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37F1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08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080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3A6CD7"/>
    <w:pPr>
      <w:jc w:val="center"/>
    </w:pPr>
  </w:style>
  <w:style w:type="character" w:customStyle="1" w:styleId="ac">
    <w:name w:val="註釋標題 字元"/>
    <w:basedOn w:val="a0"/>
    <w:link w:val="ab"/>
    <w:uiPriority w:val="99"/>
    <w:rsid w:val="003A6CD7"/>
  </w:style>
  <w:style w:type="paragraph" w:styleId="ad">
    <w:name w:val="Closing"/>
    <w:basedOn w:val="a"/>
    <w:link w:val="ae"/>
    <w:uiPriority w:val="99"/>
    <w:unhideWhenUsed/>
    <w:rsid w:val="003A6CD7"/>
    <w:pPr>
      <w:ind w:leftChars="1800" w:left="100"/>
    </w:pPr>
  </w:style>
  <w:style w:type="character" w:customStyle="1" w:styleId="ae">
    <w:name w:val="結語 字元"/>
    <w:basedOn w:val="a0"/>
    <w:link w:val="ad"/>
    <w:uiPriority w:val="99"/>
    <w:rsid w:val="003A6CD7"/>
  </w:style>
  <w:style w:type="paragraph" w:styleId="HTML">
    <w:name w:val="HTML Preformatted"/>
    <w:basedOn w:val="a"/>
    <w:link w:val="HTML0"/>
    <w:uiPriority w:val="99"/>
    <w:semiHidden/>
    <w:unhideWhenUsed/>
    <w:rsid w:val="00CF2F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CF2F34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D1513-AD38-49C9-A841-0ED9331F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2</cp:revision>
  <dcterms:created xsi:type="dcterms:W3CDTF">2023-11-30T08:41:00Z</dcterms:created>
  <dcterms:modified xsi:type="dcterms:W3CDTF">2023-11-30T08:41:00Z</dcterms:modified>
</cp:coreProperties>
</file>